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83" w:rsidRPr="00985E83" w:rsidRDefault="00985E83" w:rsidP="00985E83">
      <w:pPr>
        <w:shd w:val="clear" w:color="auto" w:fill="FFFFFF"/>
        <w:tabs>
          <w:tab w:val="left" w:pos="3119"/>
        </w:tabs>
        <w:spacing w:after="0" w:line="240" w:lineRule="auto"/>
        <w:ind w:left="5812"/>
        <w:jc w:val="both"/>
        <w:outlineLvl w:val="0"/>
        <w:rPr>
          <w:rFonts w:ascii="Times New Roman" w:eastAsia="Times New Roman" w:hAnsi="Times New Roman" w:cs="Times New Roman"/>
          <w:bCs/>
          <w:iCs/>
          <w:color w:val="1A1A1A"/>
          <w:kern w:val="36"/>
          <w:sz w:val="24"/>
          <w:szCs w:val="24"/>
          <w:lang w:eastAsia="ru-RU"/>
        </w:rPr>
      </w:pPr>
      <w:bookmarkStart w:id="0" w:name="table1"/>
      <w:r w:rsidRPr="00985E83">
        <w:rPr>
          <w:rFonts w:ascii="Times New Roman" w:eastAsia="Times New Roman" w:hAnsi="Times New Roman" w:cs="Times New Roman"/>
          <w:bCs/>
          <w:iCs/>
          <w:color w:val="1A1A1A"/>
          <w:kern w:val="36"/>
          <w:sz w:val="24"/>
          <w:szCs w:val="24"/>
          <w:lang w:eastAsia="ru-RU"/>
        </w:rPr>
        <w:t>Приложение к постановлению</w:t>
      </w:r>
    </w:p>
    <w:p w:rsidR="00985E83" w:rsidRPr="00985E83" w:rsidRDefault="00985E83" w:rsidP="00985E83">
      <w:pPr>
        <w:shd w:val="clear" w:color="auto" w:fill="FFFFFF"/>
        <w:tabs>
          <w:tab w:val="left" w:pos="3119"/>
        </w:tabs>
        <w:spacing w:after="0" w:line="240" w:lineRule="auto"/>
        <w:ind w:left="5812"/>
        <w:jc w:val="both"/>
        <w:outlineLvl w:val="0"/>
        <w:rPr>
          <w:rFonts w:ascii="Times New Roman" w:eastAsia="Times New Roman" w:hAnsi="Times New Roman" w:cs="Times New Roman"/>
          <w:bCs/>
          <w:iCs/>
          <w:color w:val="1A1A1A"/>
          <w:kern w:val="36"/>
          <w:sz w:val="24"/>
          <w:szCs w:val="24"/>
          <w:lang w:eastAsia="ru-RU"/>
        </w:rPr>
      </w:pPr>
      <w:r w:rsidRPr="00985E83">
        <w:rPr>
          <w:rFonts w:ascii="Times New Roman" w:eastAsia="Times New Roman" w:hAnsi="Times New Roman" w:cs="Times New Roman"/>
          <w:bCs/>
          <w:iCs/>
          <w:color w:val="1A1A1A"/>
          <w:kern w:val="36"/>
          <w:sz w:val="24"/>
          <w:szCs w:val="24"/>
          <w:lang w:eastAsia="ru-RU"/>
        </w:rPr>
        <w:t>Администрации муниципального района</w:t>
      </w:r>
      <w:r>
        <w:rPr>
          <w:rFonts w:ascii="Times New Roman" w:eastAsia="Times New Roman" w:hAnsi="Times New Roman" w:cs="Times New Roman"/>
          <w:bCs/>
          <w:iCs/>
          <w:color w:val="1A1A1A"/>
          <w:kern w:val="36"/>
          <w:sz w:val="24"/>
          <w:szCs w:val="24"/>
          <w:lang w:eastAsia="ru-RU"/>
        </w:rPr>
        <w:t xml:space="preserve"> </w:t>
      </w:r>
      <w:r w:rsidRPr="00985E83">
        <w:rPr>
          <w:rFonts w:ascii="Times New Roman" w:eastAsia="Times New Roman" w:hAnsi="Times New Roman" w:cs="Times New Roman"/>
          <w:bCs/>
          <w:iCs/>
          <w:color w:val="1A1A1A"/>
          <w:kern w:val="36"/>
          <w:sz w:val="24"/>
          <w:szCs w:val="24"/>
          <w:lang w:val="x-none" w:eastAsia="ru-RU"/>
        </w:rPr>
        <w:t>от</w:t>
      </w:r>
      <w:r w:rsidRPr="00985E83">
        <w:rPr>
          <w:rFonts w:ascii="Times New Roman" w:eastAsia="Times New Roman" w:hAnsi="Times New Roman" w:cs="Times New Roman"/>
          <w:bCs/>
          <w:iCs/>
          <w:color w:val="1A1A1A"/>
          <w:kern w:val="36"/>
          <w:sz w:val="24"/>
          <w:szCs w:val="24"/>
          <w:lang w:eastAsia="ru-RU"/>
        </w:rPr>
        <w:t xml:space="preserve"> </w:t>
      </w:r>
      <w:r w:rsidR="00753995">
        <w:rPr>
          <w:rFonts w:ascii="Times New Roman" w:eastAsia="Times New Roman" w:hAnsi="Times New Roman" w:cs="Times New Roman"/>
          <w:bCs/>
          <w:iCs/>
          <w:color w:val="1A1A1A"/>
          <w:kern w:val="36"/>
          <w:sz w:val="24"/>
          <w:szCs w:val="24"/>
          <w:lang w:eastAsia="ru-RU"/>
        </w:rPr>
        <w:t>24.02.2025 № 213</w:t>
      </w:r>
      <w:bookmarkStart w:id="1" w:name="_GoBack"/>
      <w:bookmarkEnd w:id="1"/>
    </w:p>
    <w:p w:rsidR="006F462F" w:rsidRPr="005E300B" w:rsidRDefault="009310CA" w:rsidP="005E300B">
      <w:pPr>
        <w:shd w:val="clear" w:color="auto" w:fill="FFFFFF"/>
        <w:tabs>
          <w:tab w:val="left" w:pos="3119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A1A1A"/>
          <w:kern w:val="36"/>
          <w:sz w:val="28"/>
          <w:szCs w:val="28"/>
          <w:lang w:eastAsia="ru-RU"/>
        </w:rPr>
      </w:pPr>
      <w:r w:rsidRPr="005E300B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>Доклад</w:t>
      </w:r>
      <w:r w:rsidR="005E300B" w:rsidRPr="005E300B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 xml:space="preserve"> </w:t>
      </w:r>
      <w:r w:rsidRPr="005E300B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>о муниципально</w:t>
      </w:r>
      <w:r w:rsidR="00F25355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>м</w:t>
      </w:r>
      <w:r w:rsidRPr="005E300B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 xml:space="preserve"> земельно</w:t>
      </w:r>
      <w:r w:rsidR="00F25355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>м</w:t>
      </w:r>
      <w:r w:rsidRPr="005E300B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 xml:space="preserve"> контрол</w:t>
      </w:r>
      <w:r w:rsidR="00F25355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>е</w:t>
      </w:r>
      <w:r w:rsidRPr="005E300B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 xml:space="preserve"> в границах сельских поселений, входящих в состав Таймырского Долгано-Ненецкого муниципального района Красноярского края</w:t>
      </w:r>
      <w:r w:rsidR="005E300B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>,</w:t>
      </w:r>
      <w:r w:rsidR="001E68D2" w:rsidRPr="005E300B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 xml:space="preserve"> за 202</w:t>
      </w:r>
      <w:r w:rsidR="00345C02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>4</w:t>
      </w:r>
      <w:r w:rsidR="001E68D2" w:rsidRPr="005E300B">
        <w:rPr>
          <w:rFonts w:ascii="Times New Roman" w:eastAsia="Times New Roman" w:hAnsi="Times New Roman" w:cs="Times New Roman"/>
          <w:bCs/>
          <w:iCs/>
          <w:color w:val="1A1A1A"/>
          <w:kern w:val="36"/>
          <w:sz w:val="28"/>
          <w:szCs w:val="28"/>
          <w:lang w:eastAsia="ru-RU"/>
        </w:rPr>
        <w:t xml:space="preserve"> год.</w:t>
      </w:r>
    </w:p>
    <w:tbl>
      <w:tblPr>
        <w:tblW w:w="9640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2838"/>
        <w:gridCol w:w="283"/>
        <w:gridCol w:w="992"/>
        <w:gridCol w:w="2127"/>
        <w:gridCol w:w="141"/>
        <w:gridCol w:w="2694"/>
      </w:tblGrid>
      <w:tr w:rsidR="006F462F" w:rsidRPr="00673B49" w:rsidTr="008D2173">
        <w:trPr>
          <w:trHeight w:val="61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462F" w:rsidRPr="007773E1" w:rsidRDefault="006F462F" w:rsidP="008D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62F" w:rsidRPr="00673B49" w:rsidRDefault="006F462F" w:rsidP="006F462F">
            <w:pPr>
              <w:spacing w:after="0" w:line="240" w:lineRule="auto"/>
              <w:ind w:left="132" w:right="127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</w:t>
            </w:r>
            <w:r w:rsidRPr="003D1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 контрольных (надзорных) мероприятиях, специальных режимах государственного контроля (надзора), включая данные:</w:t>
            </w:r>
          </w:p>
        </w:tc>
      </w:tr>
      <w:tr w:rsidR="006F462F" w:rsidRPr="003D15D1" w:rsidTr="00C84D04">
        <w:trPr>
          <w:trHeight w:val="167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62F" w:rsidRPr="003D15D1" w:rsidRDefault="006F462F" w:rsidP="006F4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 w:rsidR="0046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62F" w:rsidRPr="00A546B7" w:rsidRDefault="00AA3991" w:rsidP="00AA399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F46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F46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проведенных </w:t>
            </w:r>
            <w:r w:rsidR="006F462F" w:rsidRPr="00A5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контрольных (н</w:t>
            </w:r>
            <w:r w:rsidR="006F46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адзорных) мероприятий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62F" w:rsidRDefault="006F462F" w:rsidP="00586215">
            <w:pPr>
              <w:autoSpaceDE w:val="0"/>
              <w:autoSpaceDN w:val="0"/>
              <w:adjustRightInd w:val="0"/>
              <w:spacing w:after="0" w:line="240" w:lineRule="auto"/>
              <w:ind w:left="132" w:right="127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18D" w:rsidRPr="003D15D1" w:rsidRDefault="001B3AE7" w:rsidP="00586215">
            <w:pPr>
              <w:autoSpaceDE w:val="0"/>
              <w:autoSpaceDN w:val="0"/>
              <w:adjustRightInd w:val="0"/>
              <w:spacing w:after="0" w:line="240" w:lineRule="auto"/>
              <w:ind w:left="132" w:right="127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6F462F" w:rsidRPr="003D15D1" w:rsidTr="00C84D04">
        <w:trPr>
          <w:trHeight w:val="64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462F" w:rsidRPr="003D15D1" w:rsidRDefault="00690047" w:rsidP="00690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4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6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462F" w:rsidRPr="003D15D1" w:rsidRDefault="00AA3991" w:rsidP="00AA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90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90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контрольных (надзорных) мероприятий, проведенных с использованием средств дистанционного взаимодействия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462F" w:rsidRPr="003D15D1" w:rsidRDefault="00690047" w:rsidP="00586215">
            <w:pPr>
              <w:spacing w:after="0" w:line="240" w:lineRule="auto"/>
              <w:ind w:left="132" w:right="127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</w:tr>
      <w:tr w:rsidR="0045033E" w:rsidRPr="003D15D1" w:rsidTr="00C84D04">
        <w:trPr>
          <w:trHeight w:val="64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3E" w:rsidRDefault="0045033E" w:rsidP="0069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3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3E" w:rsidRDefault="00AA3991" w:rsidP="008A2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="00450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отказов в согласовании проведения контрольных (надзорных) мероприятий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ганов прокуратуры, в том числе </w:t>
            </w:r>
            <w:r w:rsidR="00450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8A2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отказов органов</w:t>
            </w:r>
            <w:r w:rsidR="00450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прокуратуры в согласовании проведения контрольных (надзорных) мероприятий и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</w:t>
            </w:r>
            <w:r w:rsidR="00450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предпринимаемы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450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целях </w:t>
            </w:r>
            <w:r w:rsidR="00AA4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минимизации таких отказов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33E" w:rsidRDefault="008158A3" w:rsidP="00586215">
            <w:pPr>
              <w:spacing w:after="0" w:line="240" w:lineRule="auto"/>
              <w:ind w:left="132" w:right="127" w:firstLine="284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</w:tr>
      <w:tr w:rsidR="008158A3" w:rsidRPr="003D15D1" w:rsidTr="00C84D04">
        <w:trPr>
          <w:trHeight w:val="64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A3" w:rsidRDefault="008158A3" w:rsidP="0069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  <w:r w:rsidR="0046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A3" w:rsidRDefault="00AA3991" w:rsidP="0045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15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</w:t>
            </w:r>
            <w:r w:rsidR="00815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контролируемых лиц, в отношении которых проведены контрольные (надзорные) мероприятия с взаимодействием с контролируемым лицом, специальные режимы государственного контроля (надзора)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A3" w:rsidRDefault="00465D3C" w:rsidP="00586215">
            <w:pPr>
              <w:spacing w:after="0" w:line="240" w:lineRule="auto"/>
              <w:ind w:left="132" w:right="127" w:firstLine="284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</w:tr>
      <w:tr w:rsidR="00465D3C" w:rsidRPr="003D15D1" w:rsidTr="00C84D04">
        <w:trPr>
          <w:trHeight w:val="64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D3C" w:rsidRDefault="00465D3C" w:rsidP="0069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63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D3C" w:rsidRDefault="00AA3991" w:rsidP="002C5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="0046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объектов контроля, категория рисков которых изменена в отчетном периоде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5D3C" w:rsidRDefault="00465D3C" w:rsidP="00586215">
            <w:pPr>
              <w:spacing w:after="0" w:line="240" w:lineRule="auto"/>
              <w:ind w:left="132" w:right="127" w:firstLine="284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</w:tr>
      <w:tr w:rsidR="00586215" w:rsidRPr="00D771B5" w:rsidTr="0004426C">
        <w:trPr>
          <w:trHeight w:val="35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6215" w:rsidRPr="007773E1" w:rsidRDefault="00586215" w:rsidP="0004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215" w:rsidRPr="00D771B5" w:rsidRDefault="00586215" w:rsidP="00586215">
            <w:pPr>
              <w:spacing w:after="0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</w:t>
            </w:r>
            <w:r w:rsidRPr="00D77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ведения 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проведенных профилактических мероприятиях</w:t>
            </w:r>
          </w:p>
        </w:tc>
      </w:tr>
      <w:tr w:rsidR="00586215" w:rsidRPr="00DD02F7" w:rsidTr="0004426C">
        <w:trPr>
          <w:trHeight w:val="66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215" w:rsidRDefault="00586215" w:rsidP="00044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215" w:rsidRPr="003D15D1" w:rsidRDefault="00AA3991" w:rsidP="00586215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</w:t>
            </w:r>
            <w:r w:rsidR="00586215" w:rsidRPr="003D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215" w:rsidRPr="00146641" w:rsidRDefault="00586215" w:rsidP="0004426C">
            <w:pPr>
              <w:spacing w:after="0" w:line="240" w:lineRule="auto"/>
              <w:ind w:left="132" w:right="127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информирования на официальном сайте органов местного самоуправления Таймырского Долгано-Ненецкого муниципального района </w:t>
            </w:r>
            <w:proofErr w:type="spellStart"/>
            <w:r w:rsidRPr="001466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taimyr</w:t>
            </w:r>
            <w:proofErr w:type="spellEnd"/>
            <w:r w:rsidRPr="0014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proofErr w:type="spellStart"/>
            <w:r w:rsidRPr="001466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146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размещены:</w:t>
            </w:r>
          </w:p>
          <w:p w:rsidR="00586215" w:rsidRDefault="00586215" w:rsidP="0004426C">
            <w:pPr>
              <w:pStyle w:val="a4"/>
              <w:shd w:val="clear" w:color="auto" w:fill="FFFFFF"/>
              <w:spacing w:before="0" w:beforeAutospacing="0" w:after="0" w:afterAutospacing="0"/>
              <w:ind w:left="132" w:right="127" w:firstLine="284"/>
              <w:jc w:val="both"/>
            </w:pPr>
            <w:r w:rsidRPr="00146641">
              <w:t xml:space="preserve">- </w:t>
            </w:r>
            <w:hyperlink r:id="rId9" w:history="1">
              <w:r w:rsidRPr="00146641">
                <w:rPr>
                  <w:rStyle w:val="a5"/>
                  <w:color w:val="auto"/>
                  <w:u w:val="none"/>
                </w:rPr>
                <w:t>тексты нормативных правовых актов</w:t>
              </w:r>
            </w:hyperlink>
            <w:r w:rsidRPr="00146641">
              <w:t>, регулирующих осуществление муниципального контроля</w:t>
            </w:r>
            <w:r>
              <w:t xml:space="preserve"> в актуальных редакциях</w:t>
            </w:r>
            <w:r w:rsidRPr="00146641">
              <w:t xml:space="preserve">;   </w:t>
            </w:r>
          </w:p>
          <w:p w:rsidR="00586215" w:rsidRPr="00146641" w:rsidRDefault="00D96902" w:rsidP="0004426C">
            <w:pPr>
              <w:pStyle w:val="a4"/>
              <w:shd w:val="clear" w:color="auto" w:fill="FFFFFF"/>
              <w:spacing w:before="0" w:beforeAutospacing="0" w:after="0" w:afterAutospacing="0"/>
              <w:ind w:left="132" w:right="127" w:firstLine="284"/>
              <w:jc w:val="both"/>
            </w:pPr>
            <w:r>
              <w:t>- Программы</w:t>
            </w:r>
            <w:r w:rsidR="00586215">
              <w:t xml:space="preserve"> профилактики на 202</w:t>
            </w:r>
            <w:r w:rsidR="00F2418D">
              <w:t>4</w:t>
            </w:r>
            <w:r w:rsidR="00586215">
              <w:t xml:space="preserve"> год</w:t>
            </w:r>
            <w:r>
              <w:t>, на 2025 год</w:t>
            </w:r>
            <w:r w:rsidR="00586215">
              <w:t>;</w:t>
            </w:r>
            <w:r w:rsidR="00586215" w:rsidRPr="00146641">
              <w:t xml:space="preserve">                                       </w:t>
            </w:r>
          </w:p>
          <w:p w:rsidR="00586215" w:rsidRPr="00146641" w:rsidRDefault="00586215" w:rsidP="0004426C">
            <w:pPr>
              <w:pStyle w:val="a4"/>
              <w:shd w:val="clear" w:color="auto" w:fill="FFFFFF"/>
              <w:spacing w:before="0" w:beforeAutospacing="0" w:after="0" w:afterAutospacing="0"/>
              <w:ind w:left="132" w:right="127" w:firstLine="284"/>
              <w:jc w:val="both"/>
            </w:pPr>
            <w:r w:rsidRPr="00146641">
              <w:t>- исчерпывающий перечень сведений, которые </w:t>
            </w:r>
            <w:hyperlink r:id="rId10" w:history="1">
              <w:r w:rsidRPr="00146641">
                <w:rPr>
                  <w:rStyle w:val="a5"/>
                  <w:color w:val="auto"/>
                  <w:u w:val="none"/>
                </w:rPr>
                <w:t>могут запрашиваться контрольным органом у контролируемого лица</w:t>
              </w:r>
            </w:hyperlink>
            <w:r>
              <w:t>;</w:t>
            </w:r>
          </w:p>
          <w:p w:rsidR="00296666" w:rsidRDefault="00586215" w:rsidP="0004426C">
            <w:pPr>
              <w:pStyle w:val="a4"/>
              <w:shd w:val="clear" w:color="auto" w:fill="FFFFFF"/>
              <w:spacing w:before="0" w:beforeAutospacing="0" w:after="0" w:afterAutospacing="0"/>
              <w:ind w:left="132" w:right="127" w:firstLine="284"/>
              <w:jc w:val="both"/>
            </w:pPr>
            <w:r w:rsidRPr="00146641">
              <w:t xml:space="preserve">- </w:t>
            </w:r>
            <w:hyperlink r:id="rId11" w:history="1">
              <w:r>
                <w:rPr>
                  <w:rStyle w:val="a5"/>
                  <w:color w:val="auto"/>
                  <w:u w:val="none"/>
                </w:rPr>
                <w:t>п</w:t>
              </w:r>
              <w:r w:rsidRPr="00146641">
                <w:rPr>
                  <w:rStyle w:val="a5"/>
                  <w:color w:val="auto"/>
                  <w:u w:val="none"/>
                </w:rPr>
                <w:t>еречень индикаторов риска</w:t>
              </w:r>
            </w:hyperlink>
            <w:r w:rsidR="00E31761">
              <w:t xml:space="preserve"> </w:t>
            </w:r>
            <w:r w:rsidRPr="00146641">
              <w:t>нарушения обязательных требований;</w:t>
            </w:r>
          </w:p>
          <w:p w:rsidR="00586215" w:rsidRDefault="00586215" w:rsidP="0004426C">
            <w:pPr>
              <w:pStyle w:val="a4"/>
              <w:shd w:val="clear" w:color="auto" w:fill="FFFFFF"/>
              <w:spacing w:before="0" w:beforeAutospacing="0" w:after="0" w:afterAutospacing="0"/>
              <w:ind w:left="132" w:right="127" w:firstLine="284"/>
              <w:jc w:val="both"/>
            </w:pPr>
            <w:r w:rsidRPr="00146641">
              <w:t xml:space="preserve">- </w:t>
            </w:r>
            <w:hyperlink r:id="rId12" w:history="1">
              <w:r>
                <w:rPr>
                  <w:rStyle w:val="a5"/>
                  <w:color w:val="auto"/>
                  <w:u w:val="none"/>
                </w:rPr>
                <w:t>п</w:t>
              </w:r>
              <w:r w:rsidRPr="00146641">
                <w:rPr>
                  <w:rStyle w:val="a5"/>
                  <w:color w:val="auto"/>
                  <w:u w:val="none"/>
                </w:rPr>
                <w:t>еречень нормативных правовых актов</w:t>
              </w:r>
            </w:hyperlink>
            <w:hyperlink r:id="rId13" w:history="1">
              <w:r w:rsidRPr="00146641">
                <w:rPr>
                  <w:rStyle w:val="a5"/>
                  <w:color w:val="auto"/>
                  <w:u w:val="none"/>
                </w:rPr>
                <w:t> с указанием структурных единиц</w:t>
              </w:r>
            </w:hyperlink>
            <w:r w:rsidRPr="00146641">
              <w:t> этих актов, содержащих обязательные требования, оценка соблюдения которых является предме</w:t>
            </w:r>
            <w:r w:rsidR="001B3AE7">
              <w:t>том контроля, а также информация</w:t>
            </w:r>
            <w:r w:rsidRPr="00146641">
              <w:t xml:space="preserve"> о мерах ответственности, применяемых при нарушении обязательных требований, с текстами в действу</w:t>
            </w:r>
            <w:r>
              <w:t xml:space="preserve">ющей </w:t>
            </w:r>
            <w:r>
              <w:lastRenderedPageBreak/>
              <w:t>редакции;</w:t>
            </w:r>
            <w:r w:rsidRPr="00146641">
              <w:t xml:space="preserve">            </w:t>
            </w:r>
          </w:p>
          <w:p w:rsidR="00586215" w:rsidRDefault="00586215" w:rsidP="0004426C">
            <w:pPr>
              <w:pStyle w:val="a4"/>
              <w:shd w:val="clear" w:color="auto" w:fill="FFFFFF"/>
              <w:spacing w:before="0" w:beforeAutospacing="0" w:after="0" w:afterAutospacing="0"/>
              <w:ind w:left="132" w:right="127" w:firstLine="284"/>
              <w:jc w:val="both"/>
            </w:pPr>
            <w:r>
              <w:t>- сведения об изменениях, внесенных в нормативные правовые акты, регулирующие осуществление муниципального земельного контроля, о сроках и порядке их вступления;</w:t>
            </w:r>
            <w:r w:rsidRPr="00146641">
              <w:t xml:space="preserve">                                                 </w:t>
            </w:r>
          </w:p>
          <w:p w:rsidR="00D96902" w:rsidRPr="00586215" w:rsidRDefault="00586215" w:rsidP="00D96902">
            <w:pPr>
              <w:pStyle w:val="a4"/>
              <w:shd w:val="clear" w:color="auto" w:fill="FFFFFF"/>
              <w:spacing w:before="0" w:beforeAutospacing="0" w:after="0" w:afterAutospacing="0"/>
              <w:ind w:left="132" w:right="127" w:firstLine="284"/>
              <w:jc w:val="both"/>
            </w:pPr>
            <w:r>
              <w:t>-</w:t>
            </w:r>
            <w:r w:rsidRPr="00146641">
              <w:t xml:space="preserve"> </w:t>
            </w:r>
            <w:r>
              <w:t>у</w:t>
            </w:r>
            <w:r w:rsidRPr="00146641">
              <w:t>твержденная </w:t>
            </w:r>
            <w:hyperlink r:id="rId14" w:history="1">
              <w:r w:rsidRPr="00146641">
                <w:rPr>
                  <w:rStyle w:val="a5"/>
                  <w:color w:val="auto"/>
                  <w:u w:val="none"/>
                </w:rPr>
                <w:t>форма проверочных листов</w:t>
              </w:r>
            </w:hyperlink>
            <w:r w:rsidR="00D96902">
              <w:t>.</w:t>
            </w:r>
          </w:p>
        </w:tc>
      </w:tr>
      <w:tr w:rsidR="00586215" w:rsidRPr="003D15D1" w:rsidTr="00586215">
        <w:trPr>
          <w:trHeight w:val="78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215" w:rsidRPr="003D15D1" w:rsidRDefault="00586215" w:rsidP="00586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215" w:rsidRPr="003D15D1" w:rsidRDefault="00AA3991" w:rsidP="00AA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586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86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выданных предостережений </w:t>
            </w:r>
            <w:r w:rsidR="00D93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недопустимости </w:t>
            </w:r>
            <w:r w:rsidR="00586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</w:t>
            </w:r>
            <w:r w:rsidR="00D93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586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обязательных требований 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215" w:rsidRDefault="00586215" w:rsidP="00586215">
            <w:pPr>
              <w:spacing w:after="0" w:line="240" w:lineRule="auto"/>
              <w:ind w:left="132" w:right="127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18D" w:rsidRPr="003D15D1" w:rsidRDefault="00D93E46" w:rsidP="00586215">
            <w:pPr>
              <w:spacing w:after="0" w:line="240" w:lineRule="auto"/>
              <w:ind w:left="132" w:right="127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29192C" w:rsidRPr="004E1C8C" w:rsidTr="00C84BE6">
        <w:trPr>
          <w:trHeight w:val="367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92C" w:rsidRPr="007773E1" w:rsidRDefault="0029192C" w:rsidP="00777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92C" w:rsidRPr="004E1C8C" w:rsidRDefault="0029192C" w:rsidP="00D1604C">
            <w:pPr>
              <w:spacing w:after="0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Общие с</w:t>
            </w:r>
            <w:r w:rsidRPr="004E1C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ведения </w:t>
            </w:r>
            <w:r w:rsidR="00D160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результатах проведенных контрольных (надзорных) меропр</w:t>
            </w:r>
            <w:r w:rsidR="00AA4F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иятий</w:t>
            </w:r>
            <w:r w:rsidR="00D160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специальных режимов государственного контроля (надзора)</w:t>
            </w:r>
          </w:p>
        </w:tc>
      </w:tr>
      <w:tr w:rsidR="0029192C" w:rsidTr="00C84D04">
        <w:trPr>
          <w:trHeight w:val="346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192C" w:rsidRDefault="00991615" w:rsidP="0099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9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4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192C" w:rsidRDefault="00F110BE" w:rsidP="00F11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192C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615">
              <w:rPr>
                <w:rFonts w:ascii="Times New Roman" w:hAnsi="Times New Roman" w:cs="Times New Roman"/>
                <w:sz w:val="24"/>
                <w:szCs w:val="24"/>
              </w:rPr>
              <w:t>контролируемых лиц, у которых в рамках проведения контрольных (надзорных)</w:t>
            </w:r>
            <w:r w:rsidR="0044600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с взаимодействи</w:t>
            </w:r>
            <w:r w:rsidR="00991615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446002">
              <w:rPr>
                <w:rFonts w:ascii="Times New Roman" w:hAnsi="Times New Roman" w:cs="Times New Roman"/>
                <w:sz w:val="24"/>
                <w:szCs w:val="24"/>
              </w:rPr>
              <w:t xml:space="preserve">с контролируемым лицом, специальных режимов </w:t>
            </w:r>
            <w:r w:rsidR="00291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002" w:rsidRPr="00446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 контроля (надзора)</w:t>
            </w:r>
            <w:r w:rsidR="00446002">
              <w:rPr>
                <w:rFonts w:ascii="Times New Roman" w:hAnsi="Times New Roman" w:cs="Times New Roman"/>
                <w:sz w:val="24"/>
                <w:szCs w:val="24"/>
              </w:rPr>
              <w:t xml:space="preserve"> выявлены нарушения обязательных требований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192C" w:rsidRDefault="0029192C" w:rsidP="00C84BE6">
            <w:pPr>
              <w:spacing w:after="0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192C" w:rsidTr="00C84D04">
        <w:trPr>
          <w:trHeight w:val="252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192C" w:rsidRDefault="00F21744" w:rsidP="00C8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624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192C" w:rsidRPr="001B6A32" w:rsidRDefault="00F110BE" w:rsidP="00F110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21744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21744"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нарушений обязательных требований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192C" w:rsidRDefault="00D93E46" w:rsidP="001B3AE7">
            <w:pPr>
              <w:spacing w:after="0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B3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9192C" w:rsidRPr="00B0328D" w:rsidTr="00C84D04">
        <w:trPr>
          <w:trHeight w:val="346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192C" w:rsidRDefault="00F21744" w:rsidP="00C8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624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192C" w:rsidRPr="001B6A32" w:rsidRDefault="00F110BE" w:rsidP="00F2174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29192C" w:rsidRPr="001B6A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74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административных наказаний, назначенных по итогам контрольных (надзорных) мероприятий, специальных режимов  </w:t>
            </w:r>
            <w:r w:rsidR="00F21744" w:rsidRPr="00446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 контроля (надзора)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9192C" w:rsidRPr="00B0328D" w:rsidRDefault="0029192C" w:rsidP="00C84BE6">
            <w:pPr>
              <w:spacing w:after="0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192C" w:rsidTr="00C84D04">
        <w:trPr>
          <w:trHeight w:val="346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192C" w:rsidRDefault="0029192C" w:rsidP="00C8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1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62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192C" w:rsidRPr="001B6A32" w:rsidRDefault="00F110BE" w:rsidP="00F110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0B1A40">
              <w:rPr>
                <w:rFonts w:ascii="Times New Roman" w:hAnsi="Times New Roman" w:cs="Times New Roman"/>
                <w:sz w:val="24"/>
                <w:szCs w:val="24"/>
              </w:rPr>
              <w:t>наложенных</w:t>
            </w:r>
            <w:r w:rsidR="00F21744">
              <w:rPr>
                <w:rFonts w:ascii="Times New Roman" w:hAnsi="Times New Roman" w:cs="Times New Roman"/>
                <w:sz w:val="24"/>
                <w:szCs w:val="24"/>
              </w:rPr>
              <w:t xml:space="preserve"> и взысканны</w:t>
            </w:r>
            <w:r w:rsidR="000B1A4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21744">
              <w:rPr>
                <w:rFonts w:ascii="Times New Roman" w:hAnsi="Times New Roman" w:cs="Times New Roman"/>
                <w:sz w:val="24"/>
                <w:szCs w:val="24"/>
              </w:rPr>
              <w:t xml:space="preserve"> (уплаченных) административных </w:t>
            </w:r>
            <w:proofErr w:type="gramStart"/>
            <w:r w:rsidR="00F21744">
              <w:rPr>
                <w:rFonts w:ascii="Times New Roman" w:hAnsi="Times New Roman" w:cs="Times New Roman"/>
                <w:sz w:val="24"/>
                <w:szCs w:val="24"/>
              </w:rPr>
              <w:t>штрафах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192C" w:rsidRDefault="0029192C" w:rsidP="00C84BE6">
            <w:pPr>
              <w:spacing w:after="0" w:line="240" w:lineRule="auto"/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307A4" w:rsidRPr="007773E1" w:rsidTr="00C84D04">
        <w:trPr>
          <w:trHeight w:val="346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307A4" w:rsidRPr="007773E1" w:rsidRDefault="009307A4" w:rsidP="00C84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24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307A4" w:rsidRPr="007773E1" w:rsidRDefault="009307A4" w:rsidP="009307A4">
            <w:pPr>
              <w:spacing w:after="0" w:line="240" w:lineRule="auto"/>
              <w:ind w:right="1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r w:rsidRPr="007773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результатах  досудебного обжалования решений контрольных (надзорных) органов, действий (бездействия) их должностных лиц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307A4" w:rsidRPr="007773E1" w:rsidRDefault="00C84D04" w:rsidP="000B1A40">
            <w:pPr>
              <w:spacing w:after="0" w:line="240" w:lineRule="auto"/>
              <w:ind w:left="132" w:right="127" w:hanging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досудебное обжалование не предусмотрено</w:t>
            </w:r>
          </w:p>
        </w:tc>
      </w:tr>
      <w:bookmarkEnd w:id="0"/>
      <w:tr w:rsidR="00C84D04" w:rsidRPr="007773E1" w:rsidTr="00C84D04">
        <w:trPr>
          <w:trHeight w:val="346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4D04" w:rsidRPr="007773E1" w:rsidRDefault="00C84D04" w:rsidP="00E54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24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4D04" w:rsidRPr="007773E1" w:rsidRDefault="00C84D04" w:rsidP="00C84D04">
            <w:pPr>
              <w:spacing w:after="0" w:line="240" w:lineRule="auto"/>
              <w:ind w:right="1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r w:rsidRPr="007773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результатах  судебного обжалования решений контрольных (надзорных) органов, действий (бездействия) их должностных лиц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4D04" w:rsidRPr="007773E1" w:rsidRDefault="00C84D04" w:rsidP="00C84D04">
            <w:pPr>
              <w:spacing w:after="0" w:line="240" w:lineRule="auto"/>
              <w:ind w:left="132" w:right="127"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факты судебного обжалования отсутствуют</w:t>
            </w:r>
          </w:p>
        </w:tc>
      </w:tr>
      <w:tr w:rsidR="007773E1" w:rsidRPr="007773E1" w:rsidTr="00FC18E8">
        <w:trPr>
          <w:trHeight w:val="346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773E1" w:rsidRPr="007773E1" w:rsidRDefault="007773E1" w:rsidP="002B1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73E1" w:rsidRPr="007773E1" w:rsidRDefault="008A2DEE" w:rsidP="00C84D04">
            <w:pPr>
              <w:spacing w:after="0" w:line="240" w:lineRule="auto"/>
              <w:ind w:left="132" w:right="127" w:firstLine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Сведения о достижении ключевого показателя</w:t>
            </w:r>
          </w:p>
        </w:tc>
      </w:tr>
      <w:tr w:rsidR="007773E1" w:rsidTr="007773E1">
        <w:trPr>
          <w:trHeight w:val="346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73E1" w:rsidRPr="003D15D1" w:rsidRDefault="007773E1" w:rsidP="002B1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73E1" w:rsidRDefault="007773E1" w:rsidP="002B19E2">
            <w:pPr>
              <w:autoSpaceDE w:val="0"/>
              <w:autoSpaceDN w:val="0"/>
              <w:adjustRightInd w:val="0"/>
              <w:spacing w:after="0" w:line="240" w:lineRule="auto"/>
              <w:ind w:right="1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ключевого показателя муниципального земельного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границах сельских поселений, входящих в состав Таймырского Долгано-Ненецкого муниципального района,</w:t>
            </w:r>
          </w:p>
          <w:p w:rsidR="007773E1" w:rsidRPr="003D15D1" w:rsidRDefault="007773E1" w:rsidP="002B19E2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целевое значение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73E1" w:rsidRPr="006E1386" w:rsidRDefault="007773E1" w:rsidP="002B19E2">
            <w:pPr>
              <w:autoSpaceDE w:val="0"/>
              <w:autoSpaceDN w:val="0"/>
              <w:adjustRightInd w:val="0"/>
              <w:spacing w:after="0" w:line="240" w:lineRule="auto"/>
              <w:ind w:left="132"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86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устраненных в отчетном году нарушений обязательных требований, оценка соблюдения которых является предметом муниципального земельного контроля, к общему количеству выявленных в отчетном году нарушений обязательных требований, оценка соблюдения которых является предметом муниципального земельного контроля.</w:t>
            </w:r>
          </w:p>
          <w:p w:rsidR="007773E1" w:rsidRPr="006E1386" w:rsidRDefault="007773E1" w:rsidP="002B19E2">
            <w:pPr>
              <w:autoSpaceDE w:val="0"/>
              <w:autoSpaceDN w:val="0"/>
              <w:adjustRightInd w:val="0"/>
              <w:spacing w:after="0" w:line="240" w:lineRule="auto"/>
              <w:ind w:left="132"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386">
              <w:rPr>
                <w:rFonts w:ascii="Times New Roman" w:hAnsi="Times New Roman" w:cs="Times New Roman"/>
                <w:sz w:val="24"/>
                <w:szCs w:val="24"/>
              </w:rPr>
              <w:t>Целевое значение ключевого показателя: значение, превышающее 0,5.</w:t>
            </w:r>
          </w:p>
        </w:tc>
      </w:tr>
      <w:tr w:rsidR="007773E1" w:rsidRPr="003D15D1" w:rsidTr="001B3AE7">
        <w:trPr>
          <w:trHeight w:val="594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Default="007773E1" w:rsidP="002B1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Default="007773E1" w:rsidP="002B19E2">
            <w:pPr>
              <w:autoSpaceDE w:val="0"/>
              <w:autoSpaceDN w:val="0"/>
              <w:adjustRightInd w:val="0"/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ключевого показателя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3E1" w:rsidRPr="006E1386" w:rsidRDefault="001B3AE7" w:rsidP="001B3AE7">
            <w:pPr>
              <w:autoSpaceDE w:val="0"/>
              <w:autoSpaceDN w:val="0"/>
              <w:adjustRightInd w:val="0"/>
              <w:spacing w:after="0" w:line="240" w:lineRule="auto"/>
              <w:ind w:left="127" w:firstLine="6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7773E1" w:rsidRPr="003D15D1" w:rsidTr="007B0DD3">
        <w:trPr>
          <w:trHeight w:val="594"/>
        </w:trPr>
        <w:tc>
          <w:tcPr>
            <w:tcW w:w="5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Pr="007773E1" w:rsidRDefault="007773E1" w:rsidP="00777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075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Pr="007773E1" w:rsidRDefault="007773E1" w:rsidP="007773E1">
            <w:pPr>
              <w:autoSpaceDE w:val="0"/>
              <w:autoSpaceDN w:val="0"/>
              <w:adjustRightInd w:val="0"/>
              <w:spacing w:after="0" w:line="240" w:lineRule="auto"/>
              <w:ind w:left="127" w:firstLine="69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</w:t>
            </w:r>
            <w:proofErr w:type="spellStart"/>
            <w:r w:rsidRPr="007773E1">
              <w:rPr>
                <w:rFonts w:ascii="Times New Roman" w:hAnsi="Times New Roman" w:cs="Times New Roman"/>
                <w:b/>
                <w:sz w:val="24"/>
                <w:szCs w:val="24"/>
              </w:rPr>
              <w:t>цифровизации</w:t>
            </w:r>
            <w:proofErr w:type="spellEnd"/>
            <w:r w:rsidRPr="00777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вида контроля</w:t>
            </w:r>
          </w:p>
        </w:tc>
      </w:tr>
      <w:tr w:rsidR="007773E1" w:rsidRPr="003D15D1" w:rsidTr="007773E1">
        <w:trPr>
          <w:trHeight w:val="53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Default="007773E1" w:rsidP="00777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1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Default="007773E1" w:rsidP="00985E83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D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нформационны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D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D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D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рименяемы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D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осуществлении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земельного контроля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Default="007773E1" w:rsidP="00985E83">
            <w:pPr>
              <w:spacing w:after="0" w:line="240" w:lineRule="auto"/>
              <w:ind w:left="126" w:right="12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E4F8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4F83">
              <w:rPr>
                <w:rFonts w:ascii="Times New Roman" w:hAnsi="Times New Roman" w:cs="Times New Roman"/>
                <w:sz w:val="24"/>
                <w:szCs w:val="24"/>
              </w:rPr>
              <w:t>диный 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видов </w:t>
            </w:r>
            <w:r w:rsidRPr="007E4F83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(ЕРВК)</w:t>
            </w:r>
            <w:r w:rsidRPr="007E4F8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773E1" w:rsidRPr="007E4F83" w:rsidRDefault="007773E1" w:rsidP="00985E83">
            <w:pPr>
              <w:spacing w:after="0" w:line="240" w:lineRule="auto"/>
              <w:ind w:left="126" w:right="127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83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ФГИС «Е</w:t>
            </w:r>
            <w:r w:rsidRPr="007E4F83">
              <w:rPr>
                <w:rFonts w:ascii="Times New Roman" w:hAnsi="Times New Roman" w:cs="Times New Roman"/>
                <w:sz w:val="24"/>
                <w:szCs w:val="24"/>
              </w:rPr>
              <w:t xml:space="preserve">диный реестр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(надзорных) мероприятий» (ЕРКНМ).</w:t>
            </w:r>
            <w:r w:rsidRPr="007E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3E1" w:rsidRPr="003D15D1" w:rsidTr="007773E1">
        <w:trPr>
          <w:trHeight w:val="535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Pr="007773E1" w:rsidRDefault="007773E1" w:rsidP="00BE0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1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Pr="007773E1" w:rsidRDefault="007773E1" w:rsidP="00985E83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73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Общие сведения о кадровом обеспечении в контрольных (надзорных) органах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Default="007773E1" w:rsidP="007773E1">
            <w:pPr>
              <w:spacing w:after="0" w:line="240" w:lineRule="auto"/>
              <w:ind w:left="126" w:right="12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по осуществл</w:t>
            </w:r>
            <w:r w:rsidR="00E31761">
              <w:rPr>
                <w:rFonts w:ascii="Times New Roman" w:hAnsi="Times New Roman" w:cs="Times New Roman"/>
                <w:sz w:val="24"/>
                <w:szCs w:val="24"/>
              </w:rPr>
              <w:t xml:space="preserve">ению муниципального земельного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 осуществляет 1 специалист.</w:t>
            </w:r>
          </w:p>
        </w:tc>
      </w:tr>
      <w:tr w:rsidR="007773E1" w:rsidRPr="003D15D1" w:rsidTr="006C4160">
        <w:trPr>
          <w:trHeight w:val="371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73E1" w:rsidRPr="00BE0C27" w:rsidRDefault="007773E1" w:rsidP="00F9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0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0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73E1" w:rsidRPr="00BE0C27" w:rsidRDefault="007773E1" w:rsidP="001B6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0C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Выводы и предложения по итогам организации и осуществления вида контроля.</w:t>
            </w:r>
          </w:p>
        </w:tc>
      </w:tr>
      <w:tr w:rsidR="007773E1" w:rsidRPr="003D15D1" w:rsidTr="006C4160">
        <w:trPr>
          <w:trHeight w:val="315"/>
        </w:trPr>
        <w:tc>
          <w:tcPr>
            <w:tcW w:w="96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3E1" w:rsidRDefault="007773E1" w:rsidP="000F49A1">
            <w:pPr>
              <w:spacing w:after="0"/>
              <w:ind w:left="127" w:right="127" w:firstLine="6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со статьей 14 Федерального закона от 06.10.2003 № 131-ФЗ «Об общих принципах организации местного самоуправления в Российской Федерации» осуществление муниципального земельного контроля на террит</w:t>
            </w:r>
            <w:r w:rsidR="00E3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ории сельских поселений отнесено</w:t>
            </w: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полномочиям органов местного самоуправления муниципального 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 (соответственно территории сельского поселения Караул, с</w:t>
            </w: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ельского поселения Хатанга). Для проведения соответствующей работы ключевым фактором является территориальное расположение уполномоченного органа непосредственно на территории подведомствен</w:t>
            </w:r>
            <w:r w:rsidR="00E3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муниципального образования, о</w:t>
            </w: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днако органы местного самоуправления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находятся в г. Дудинке (г</w:t>
            </w: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ородское поселение Дудинка). Вся территория Таймырского Долгано-Ненецкого муниципального района отнесена к труднодоступным и отдаленным местностям Красноярского края (Закон Красноярского края от 29.09.2005 № 16-3747). Автомобильные дороги круглогодичного действия, соединяющие между собой населенные пункты муниципального района, отсутствуют; перевозка пассажиров водным транспортом ограничена коротким периодом летней речной навигации; услуги по перевозке воздушным транспортом (безальтернативный круглогодичный вид транспортного сообщения) имеют высокую стоимость. Во многие поселки муниципальных образований «Сельское поселение Караул» и «Сельское поселение Хатанга» периодичность следования пассажирских судов (как речных, так и воздушных) не чаще 1-2 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месяц. Вышеперечисленные факторы делают невозможным оперативное и своевременное проведение соответствующих мероприятий, необходимо территориальное присутствие на месте расположения объектов контроля специалиста для проведения соответствующей работы (определение места нах</w:t>
            </w:r>
            <w:r w:rsidR="008A2D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ождения объекта, осмотр объекта</w:t>
            </w: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Командирование специалистов органов местного самоуправления муниципального района нецелесообразно с точки зрения материальных затрат (проезд, проживание) и потерь рабочего времени из-за невозможности своевременного выезда из поселков. </w:t>
            </w:r>
          </w:p>
          <w:p w:rsidR="007773E1" w:rsidRPr="00FF3E96" w:rsidRDefault="007773E1" w:rsidP="000F49A1">
            <w:pPr>
              <w:spacing w:after="0"/>
              <w:ind w:left="127" w:right="127" w:firstLine="69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совершенствование нормативно-правовой базы, регулирующей осуществление муниципального земельного контроля, в том числе издание</w:t>
            </w: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субъекта РФ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закреплении </w:t>
            </w: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 Таймырского Долгано-Ненецкого муниципального района по осуществлению муниципального земельного контроля в границах сельских поселений за органами местного самоуправления этих поселений</w:t>
            </w:r>
            <w:r w:rsidR="002C59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что</w:t>
            </w:r>
            <w:r w:rsidRPr="00FF3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позволит оперативно решать задачи специалистами, находящимися непосредственно в месте расположения объектов контроля.</w:t>
            </w:r>
            <w:proofErr w:type="gramEnd"/>
          </w:p>
          <w:p w:rsidR="007773E1" w:rsidRPr="003D15D1" w:rsidRDefault="007773E1" w:rsidP="00B71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F3E96" w:rsidRDefault="00FF3E96" w:rsidP="00070C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3E96" w:rsidRDefault="00FF3E96" w:rsidP="00070C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3E96" w:rsidRDefault="00FF3E96" w:rsidP="00070C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0C74" w:rsidRPr="00D571C2" w:rsidRDefault="00070C74" w:rsidP="00070C7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1273F" w:rsidRDefault="00E1273F"/>
    <w:sectPr w:rsidR="00E12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ECC" w:rsidRDefault="00C02ECC" w:rsidP="00536201">
      <w:pPr>
        <w:spacing w:after="0" w:line="240" w:lineRule="auto"/>
      </w:pPr>
      <w:r>
        <w:separator/>
      </w:r>
    </w:p>
  </w:endnote>
  <w:endnote w:type="continuationSeparator" w:id="0">
    <w:p w:rsidR="00C02ECC" w:rsidRDefault="00C02ECC" w:rsidP="0053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ECC" w:rsidRDefault="00C02ECC" w:rsidP="00536201">
      <w:pPr>
        <w:spacing w:after="0" w:line="240" w:lineRule="auto"/>
      </w:pPr>
      <w:r>
        <w:separator/>
      </w:r>
    </w:p>
  </w:footnote>
  <w:footnote w:type="continuationSeparator" w:id="0">
    <w:p w:rsidR="00C02ECC" w:rsidRDefault="00C02ECC" w:rsidP="00536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96"/>
    <w:rsid w:val="000100F7"/>
    <w:rsid w:val="00044E72"/>
    <w:rsid w:val="00070C74"/>
    <w:rsid w:val="000B1A40"/>
    <w:rsid w:val="000C08C7"/>
    <w:rsid w:val="000D0C9B"/>
    <w:rsid w:val="000F2878"/>
    <w:rsid w:val="000F49A1"/>
    <w:rsid w:val="00131F0B"/>
    <w:rsid w:val="00146641"/>
    <w:rsid w:val="00165844"/>
    <w:rsid w:val="00177854"/>
    <w:rsid w:val="001A00A2"/>
    <w:rsid w:val="001A3E3D"/>
    <w:rsid w:val="001B3AE7"/>
    <w:rsid w:val="001B6A32"/>
    <w:rsid w:val="001D0135"/>
    <w:rsid w:val="001E68D2"/>
    <w:rsid w:val="001F142F"/>
    <w:rsid w:val="00213387"/>
    <w:rsid w:val="00220EB4"/>
    <w:rsid w:val="0024230A"/>
    <w:rsid w:val="00260B63"/>
    <w:rsid w:val="002662D4"/>
    <w:rsid w:val="0029192C"/>
    <w:rsid w:val="00296666"/>
    <w:rsid w:val="002B08CE"/>
    <w:rsid w:val="002B2893"/>
    <w:rsid w:val="002C59C5"/>
    <w:rsid w:val="002C6812"/>
    <w:rsid w:val="002E27FD"/>
    <w:rsid w:val="002E5C55"/>
    <w:rsid w:val="00303396"/>
    <w:rsid w:val="00345C02"/>
    <w:rsid w:val="0035627B"/>
    <w:rsid w:val="00363E09"/>
    <w:rsid w:val="0038220B"/>
    <w:rsid w:val="003C7C6F"/>
    <w:rsid w:val="003D15D1"/>
    <w:rsid w:val="00446002"/>
    <w:rsid w:val="0045033E"/>
    <w:rsid w:val="00465D3C"/>
    <w:rsid w:val="00477880"/>
    <w:rsid w:val="004B79CD"/>
    <w:rsid w:val="004C6A59"/>
    <w:rsid w:val="004E1C8C"/>
    <w:rsid w:val="004E78C8"/>
    <w:rsid w:val="005057D1"/>
    <w:rsid w:val="00506B19"/>
    <w:rsid w:val="00521068"/>
    <w:rsid w:val="00534797"/>
    <w:rsid w:val="00536201"/>
    <w:rsid w:val="00546C03"/>
    <w:rsid w:val="00553758"/>
    <w:rsid w:val="00572CE4"/>
    <w:rsid w:val="00586215"/>
    <w:rsid w:val="00593529"/>
    <w:rsid w:val="00594B80"/>
    <w:rsid w:val="005D5A77"/>
    <w:rsid w:val="005D7EBC"/>
    <w:rsid w:val="005E0B96"/>
    <w:rsid w:val="005E300B"/>
    <w:rsid w:val="005E5F70"/>
    <w:rsid w:val="0062004D"/>
    <w:rsid w:val="006220A7"/>
    <w:rsid w:val="00627CA0"/>
    <w:rsid w:val="00673B49"/>
    <w:rsid w:val="00690047"/>
    <w:rsid w:val="006C4160"/>
    <w:rsid w:val="006C54C1"/>
    <w:rsid w:val="006C7AD0"/>
    <w:rsid w:val="006E1386"/>
    <w:rsid w:val="006F462F"/>
    <w:rsid w:val="007537A9"/>
    <w:rsid w:val="00753995"/>
    <w:rsid w:val="007773E1"/>
    <w:rsid w:val="007A1F6C"/>
    <w:rsid w:val="007B2A0B"/>
    <w:rsid w:val="007B5C30"/>
    <w:rsid w:val="007D4362"/>
    <w:rsid w:val="007E1872"/>
    <w:rsid w:val="007E4F83"/>
    <w:rsid w:val="008158A3"/>
    <w:rsid w:val="00825791"/>
    <w:rsid w:val="0082734E"/>
    <w:rsid w:val="00840B6D"/>
    <w:rsid w:val="00844C3A"/>
    <w:rsid w:val="008451D2"/>
    <w:rsid w:val="008628D4"/>
    <w:rsid w:val="00891970"/>
    <w:rsid w:val="008A0DD7"/>
    <w:rsid w:val="008A2DEE"/>
    <w:rsid w:val="008F1CBC"/>
    <w:rsid w:val="00911C5A"/>
    <w:rsid w:val="009219E8"/>
    <w:rsid w:val="009307A4"/>
    <w:rsid w:val="009310CA"/>
    <w:rsid w:val="00983156"/>
    <w:rsid w:val="00985E83"/>
    <w:rsid w:val="00991615"/>
    <w:rsid w:val="009A00F1"/>
    <w:rsid w:val="009A2CA7"/>
    <w:rsid w:val="009A31E9"/>
    <w:rsid w:val="009A4E8B"/>
    <w:rsid w:val="009B291A"/>
    <w:rsid w:val="009B6529"/>
    <w:rsid w:val="009D1D84"/>
    <w:rsid w:val="009D749A"/>
    <w:rsid w:val="00A00359"/>
    <w:rsid w:val="00A13987"/>
    <w:rsid w:val="00A357C1"/>
    <w:rsid w:val="00A41DBF"/>
    <w:rsid w:val="00A43124"/>
    <w:rsid w:val="00A546B7"/>
    <w:rsid w:val="00A563F2"/>
    <w:rsid w:val="00A63A57"/>
    <w:rsid w:val="00A834DD"/>
    <w:rsid w:val="00AA3991"/>
    <w:rsid w:val="00AA4F84"/>
    <w:rsid w:val="00AE67C7"/>
    <w:rsid w:val="00B0328D"/>
    <w:rsid w:val="00B154BB"/>
    <w:rsid w:val="00B4608B"/>
    <w:rsid w:val="00B55C82"/>
    <w:rsid w:val="00B718FD"/>
    <w:rsid w:val="00B81C00"/>
    <w:rsid w:val="00B97871"/>
    <w:rsid w:val="00B9792C"/>
    <w:rsid w:val="00BC4C35"/>
    <w:rsid w:val="00BC5071"/>
    <w:rsid w:val="00BE0C27"/>
    <w:rsid w:val="00C02ECC"/>
    <w:rsid w:val="00C12EC9"/>
    <w:rsid w:val="00C20B3D"/>
    <w:rsid w:val="00C32076"/>
    <w:rsid w:val="00C84D04"/>
    <w:rsid w:val="00C960FC"/>
    <w:rsid w:val="00CB53E3"/>
    <w:rsid w:val="00CE00F1"/>
    <w:rsid w:val="00CF23F7"/>
    <w:rsid w:val="00D00896"/>
    <w:rsid w:val="00D1604C"/>
    <w:rsid w:val="00D771B5"/>
    <w:rsid w:val="00D93E46"/>
    <w:rsid w:val="00D93F71"/>
    <w:rsid w:val="00D95463"/>
    <w:rsid w:val="00D96902"/>
    <w:rsid w:val="00DA573D"/>
    <w:rsid w:val="00DB1F9B"/>
    <w:rsid w:val="00DB3852"/>
    <w:rsid w:val="00DC79BD"/>
    <w:rsid w:val="00DD02F7"/>
    <w:rsid w:val="00DD13BC"/>
    <w:rsid w:val="00DF0A07"/>
    <w:rsid w:val="00E04AF0"/>
    <w:rsid w:val="00E1273F"/>
    <w:rsid w:val="00E15855"/>
    <w:rsid w:val="00E2443E"/>
    <w:rsid w:val="00E31761"/>
    <w:rsid w:val="00E4613A"/>
    <w:rsid w:val="00E6272A"/>
    <w:rsid w:val="00E879EB"/>
    <w:rsid w:val="00E87B8A"/>
    <w:rsid w:val="00E9216A"/>
    <w:rsid w:val="00E97311"/>
    <w:rsid w:val="00EB428D"/>
    <w:rsid w:val="00EC234E"/>
    <w:rsid w:val="00EE2188"/>
    <w:rsid w:val="00EE40FA"/>
    <w:rsid w:val="00F110BE"/>
    <w:rsid w:val="00F21744"/>
    <w:rsid w:val="00F2418D"/>
    <w:rsid w:val="00F25355"/>
    <w:rsid w:val="00F56761"/>
    <w:rsid w:val="00F85C15"/>
    <w:rsid w:val="00F928F3"/>
    <w:rsid w:val="00FA1C39"/>
    <w:rsid w:val="00FC328E"/>
    <w:rsid w:val="00FC6C7E"/>
    <w:rsid w:val="00FF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5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3D15D1"/>
    <w:rPr>
      <w:i/>
      <w:iCs/>
    </w:rPr>
  </w:style>
  <w:style w:type="paragraph" w:styleId="a4">
    <w:name w:val="Normal (Web)"/>
    <w:basedOn w:val="a"/>
    <w:uiPriority w:val="99"/>
    <w:unhideWhenUsed/>
    <w:rsid w:val="00382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8220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54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6B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546B7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536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36201"/>
  </w:style>
  <w:style w:type="paragraph" w:styleId="ab">
    <w:name w:val="footer"/>
    <w:basedOn w:val="a"/>
    <w:link w:val="ac"/>
    <w:uiPriority w:val="99"/>
    <w:unhideWhenUsed/>
    <w:rsid w:val="00536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362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5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3D15D1"/>
    <w:rPr>
      <w:i/>
      <w:iCs/>
    </w:rPr>
  </w:style>
  <w:style w:type="paragraph" w:styleId="a4">
    <w:name w:val="Normal (Web)"/>
    <w:basedOn w:val="a"/>
    <w:uiPriority w:val="99"/>
    <w:unhideWhenUsed/>
    <w:rsid w:val="00382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8220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54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6B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546B7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536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36201"/>
  </w:style>
  <w:style w:type="paragraph" w:styleId="ab">
    <w:name w:val="footer"/>
    <w:basedOn w:val="a"/>
    <w:link w:val="ac"/>
    <w:uiPriority w:val="99"/>
    <w:unhideWhenUsed/>
    <w:rsid w:val="00536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36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817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aimyr24.ru/left_menu/munitsipalnyy-zemelnyy-kontrol/npa/NPA_soderzh_obyaz_trebovaniy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aimyr24.ru/left_menu/munitsipalnyy-zemelnyy-kontrol/npa/NPA_soderzh_obyaz_trebovaniy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aimyr24.ru/left_menu/munitsipalnyy-zemelnyy-kontrol/Indikatory_riska_narush_trebov.doc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taimyr24.ru/left_menu/munitsipalnyy-zemelnyy-kontrol/Perech_sved_zapros_kontr_organ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aimyr24.ru/left_menu/munitsipalnyy-zemelnyy-kontrol/npa/" TargetMode="External"/><Relationship Id="rId14" Type="http://schemas.openxmlformats.org/officeDocument/2006/relationships/hyperlink" Target="https://taimyr24.ru/left_menu/munitsipalnyy-zemelnyy-kontrol/Forma_proveroch_listov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9F3FF-0629-4532-9C43-14B0A500C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Бушуева Лариса Геннадьевна</dc:creator>
  <cp:lastModifiedBy>Боброва Нина Сергеевна</cp:lastModifiedBy>
  <cp:revision>14</cp:revision>
  <cp:lastPrinted>2025-02-24T09:58:00Z</cp:lastPrinted>
  <dcterms:created xsi:type="dcterms:W3CDTF">2024-02-16T08:35:00Z</dcterms:created>
  <dcterms:modified xsi:type="dcterms:W3CDTF">2025-02-24T09:58:00Z</dcterms:modified>
</cp:coreProperties>
</file>