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6D" w:rsidRDefault="0046376D" w:rsidP="0046376D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/>
          <w:sz w:val="28"/>
          <w:szCs w:val="28"/>
        </w:rPr>
      </w:pPr>
      <w:r w:rsidRPr="004C123A">
        <w:rPr>
          <w:rFonts w:ascii="Times New Roman" w:hAnsi="Times New Roman"/>
          <w:sz w:val="28"/>
          <w:szCs w:val="28"/>
        </w:rPr>
        <w:t>Проект внесен</w:t>
      </w:r>
      <w:r w:rsidRPr="00DC7E29">
        <w:rPr>
          <w:rFonts w:ascii="Times New Roman" w:eastAsia="Calibri" w:hAnsi="Times New Roman"/>
          <w:sz w:val="28"/>
          <w:szCs w:val="28"/>
        </w:rPr>
        <w:t xml:space="preserve"> </w:t>
      </w:r>
    </w:p>
    <w:p w:rsidR="0046376D" w:rsidRPr="00EF24B0" w:rsidRDefault="0046376D" w:rsidP="0046376D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Главой</w:t>
      </w:r>
      <w:r w:rsidRPr="00EF24B0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EF24B0">
        <w:rPr>
          <w:rFonts w:ascii="Times New Roman" w:eastAsia="Calibri" w:hAnsi="Times New Roman"/>
          <w:sz w:val="28"/>
          <w:szCs w:val="28"/>
        </w:rPr>
        <w:t>Таймырского</w:t>
      </w:r>
      <w:proofErr w:type="gramEnd"/>
      <w:r w:rsidRPr="00EF24B0">
        <w:rPr>
          <w:rFonts w:ascii="Times New Roman" w:eastAsia="Calibri" w:hAnsi="Times New Roman"/>
          <w:sz w:val="28"/>
          <w:szCs w:val="28"/>
        </w:rPr>
        <w:t xml:space="preserve"> Долгано-Ненецкого </w:t>
      </w:r>
    </w:p>
    <w:p w:rsidR="0046376D" w:rsidRPr="00EF24B0" w:rsidRDefault="0046376D" w:rsidP="0046376D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/>
          <w:sz w:val="28"/>
          <w:szCs w:val="28"/>
        </w:rPr>
      </w:pPr>
      <w:r w:rsidRPr="00EF24B0">
        <w:rPr>
          <w:rFonts w:ascii="Times New Roman" w:eastAsia="Calibri" w:hAnsi="Times New Roman"/>
          <w:sz w:val="28"/>
          <w:szCs w:val="28"/>
        </w:rPr>
        <w:t xml:space="preserve">муниципального района </w:t>
      </w:r>
    </w:p>
    <w:p w:rsidR="0046376D" w:rsidRPr="00AE23C5" w:rsidRDefault="0046376D" w:rsidP="0046376D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/>
          <w:sz w:val="28"/>
          <w:szCs w:val="28"/>
        </w:rPr>
      </w:pPr>
      <w:r w:rsidRPr="00EF24B0">
        <w:rPr>
          <w:rFonts w:ascii="Times New Roman" w:eastAsia="Calibri" w:hAnsi="Times New Roman"/>
          <w:sz w:val="28"/>
          <w:szCs w:val="28"/>
        </w:rPr>
        <w:t xml:space="preserve">    ___</w:t>
      </w:r>
      <w:r>
        <w:rPr>
          <w:rFonts w:ascii="Times New Roman" w:eastAsia="Calibri" w:hAnsi="Times New Roman"/>
          <w:sz w:val="28"/>
          <w:szCs w:val="28"/>
        </w:rPr>
        <w:t>______________ Вершинин</w:t>
      </w:r>
      <w:r w:rsidRPr="00F9545D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Е.В.</w:t>
      </w:r>
    </w:p>
    <w:p w:rsidR="0046376D" w:rsidRPr="004C123A" w:rsidRDefault="0046376D" w:rsidP="0046376D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4C123A">
        <w:rPr>
          <w:rFonts w:ascii="Times New Roman" w:hAnsi="Times New Roman" w:cs="Times New Roman"/>
          <w:sz w:val="28"/>
          <w:szCs w:val="28"/>
        </w:rPr>
        <w:t xml:space="preserve"> «_____» ___________ 20 ___ г.</w:t>
      </w:r>
    </w:p>
    <w:p w:rsidR="00190509" w:rsidRPr="00190509" w:rsidRDefault="00190509" w:rsidP="0046376D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p w:rsidR="00190509" w:rsidRPr="002D1F89" w:rsidRDefault="00190509" w:rsidP="00190509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ТАЙМЫРСКИЙ ДОЛГАНО-НЕНЕЦКИЙ РАЙОННЫЙ СОВЕТ ДЕПУТАТОВ</w:t>
      </w:r>
    </w:p>
    <w:p w:rsidR="00190509" w:rsidRPr="002D1F89" w:rsidRDefault="00190509" w:rsidP="0019050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90509" w:rsidRPr="002D1F89" w:rsidRDefault="00190509" w:rsidP="0019050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РЕШЕНИЕ</w:t>
      </w:r>
    </w:p>
    <w:p w:rsidR="00190509" w:rsidRPr="002D1F89" w:rsidRDefault="00190509" w:rsidP="00190509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190509" w:rsidRPr="002D1F89" w:rsidRDefault="002B61FE" w:rsidP="0019050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2D1F89">
        <w:rPr>
          <w:rFonts w:ascii="Times New Roman" w:hAnsi="Times New Roman" w:cs="Times New Roman"/>
          <w:b w:val="0"/>
          <w:sz w:val="26"/>
          <w:szCs w:val="26"/>
        </w:rPr>
        <w:t>от _______________ 2024</w:t>
      </w:r>
      <w:r w:rsidR="002D1F89">
        <w:rPr>
          <w:rFonts w:ascii="Times New Roman" w:hAnsi="Times New Roman" w:cs="Times New Roman"/>
          <w:b w:val="0"/>
          <w:sz w:val="26"/>
          <w:szCs w:val="26"/>
        </w:rPr>
        <w:t xml:space="preserve"> г. </w:t>
      </w:r>
      <w:r w:rsidR="002D1F89">
        <w:rPr>
          <w:rFonts w:ascii="Times New Roman" w:hAnsi="Times New Roman" w:cs="Times New Roman"/>
          <w:b w:val="0"/>
          <w:sz w:val="26"/>
          <w:szCs w:val="26"/>
        </w:rPr>
        <w:tab/>
      </w:r>
      <w:r w:rsidR="002D1F89">
        <w:rPr>
          <w:rFonts w:ascii="Times New Roman" w:hAnsi="Times New Roman" w:cs="Times New Roman"/>
          <w:b w:val="0"/>
          <w:sz w:val="26"/>
          <w:szCs w:val="26"/>
        </w:rPr>
        <w:tab/>
      </w:r>
      <w:r w:rsidR="002D1F89">
        <w:rPr>
          <w:rFonts w:ascii="Times New Roman" w:hAnsi="Times New Roman" w:cs="Times New Roman"/>
          <w:b w:val="0"/>
          <w:sz w:val="26"/>
          <w:szCs w:val="26"/>
        </w:rPr>
        <w:tab/>
      </w:r>
      <w:r w:rsidR="002D1F89">
        <w:rPr>
          <w:rFonts w:ascii="Times New Roman" w:hAnsi="Times New Roman" w:cs="Times New Roman"/>
          <w:b w:val="0"/>
          <w:sz w:val="26"/>
          <w:szCs w:val="26"/>
        </w:rPr>
        <w:tab/>
      </w:r>
      <w:r w:rsidR="002D1F89">
        <w:rPr>
          <w:rFonts w:ascii="Times New Roman" w:hAnsi="Times New Roman" w:cs="Times New Roman"/>
          <w:b w:val="0"/>
          <w:sz w:val="26"/>
          <w:szCs w:val="26"/>
        </w:rPr>
        <w:tab/>
      </w:r>
      <w:r w:rsidR="002D1F89">
        <w:rPr>
          <w:rFonts w:ascii="Times New Roman" w:hAnsi="Times New Roman" w:cs="Times New Roman"/>
          <w:b w:val="0"/>
          <w:sz w:val="26"/>
          <w:szCs w:val="26"/>
        </w:rPr>
        <w:tab/>
      </w:r>
      <w:r w:rsidR="00C1778B" w:rsidRPr="002D1F89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190509" w:rsidRPr="002D1F89">
        <w:rPr>
          <w:rFonts w:ascii="Times New Roman" w:hAnsi="Times New Roman" w:cs="Times New Roman"/>
          <w:b w:val="0"/>
          <w:sz w:val="26"/>
          <w:szCs w:val="26"/>
        </w:rPr>
        <w:t>№ _______</w:t>
      </w:r>
    </w:p>
    <w:p w:rsidR="00190509" w:rsidRPr="002D1F89" w:rsidRDefault="00190509" w:rsidP="002D1F89">
      <w:pPr>
        <w:pStyle w:val="ConsPlusTitle"/>
        <w:tabs>
          <w:tab w:val="left" w:pos="9355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0509" w:rsidRPr="002D1F89" w:rsidRDefault="00190509" w:rsidP="002D1F89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D1F89">
        <w:rPr>
          <w:rFonts w:ascii="Times New Roman" w:hAnsi="Times New Roman" w:cs="Times New Roman"/>
          <w:b/>
          <w:bCs/>
          <w:sz w:val="26"/>
          <w:szCs w:val="26"/>
        </w:rPr>
        <w:t>Об утверждении Порядка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которых являются иные межбю</w:t>
      </w:r>
      <w:r w:rsidR="0046376D" w:rsidRPr="002D1F89">
        <w:rPr>
          <w:rFonts w:ascii="Times New Roman" w:hAnsi="Times New Roman" w:cs="Times New Roman"/>
          <w:b/>
          <w:bCs/>
          <w:sz w:val="26"/>
          <w:szCs w:val="26"/>
        </w:rPr>
        <w:t>джетные</w:t>
      </w:r>
      <w:r w:rsidRPr="002D1F89">
        <w:rPr>
          <w:rFonts w:ascii="Times New Roman" w:hAnsi="Times New Roman" w:cs="Times New Roman"/>
          <w:b/>
          <w:bCs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</w:t>
      </w:r>
      <w:r w:rsidR="005B5294" w:rsidRPr="002D1F89">
        <w:rPr>
          <w:rFonts w:ascii="Times New Roman" w:hAnsi="Times New Roman" w:cs="Times New Roman"/>
          <w:b/>
          <w:bCs/>
          <w:sz w:val="26"/>
          <w:szCs w:val="26"/>
        </w:rPr>
        <w:t>держке местных инициатив</w:t>
      </w:r>
    </w:p>
    <w:p w:rsidR="00B768E7" w:rsidRPr="002D1F89" w:rsidRDefault="00B768E7" w:rsidP="002D1F89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90509" w:rsidRPr="002D1F89" w:rsidRDefault="00190509" w:rsidP="002D1F89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1F89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>
        <w:r w:rsidRPr="002D1F89">
          <w:rPr>
            <w:rFonts w:ascii="Times New Roman" w:hAnsi="Times New Roman" w:cs="Times New Roman"/>
            <w:sz w:val="26"/>
            <w:szCs w:val="26"/>
          </w:rPr>
          <w:t>статьями 9</w:t>
        </w:r>
      </w:hyperlink>
      <w:r w:rsidRPr="002D1F89">
        <w:rPr>
          <w:rFonts w:ascii="Times New Roman" w:hAnsi="Times New Roman" w:cs="Times New Roman"/>
          <w:sz w:val="26"/>
          <w:szCs w:val="26"/>
        </w:rPr>
        <w:t xml:space="preserve">, </w:t>
      </w:r>
      <w:hyperlink r:id="rId7">
        <w:r w:rsidRPr="002D1F89">
          <w:rPr>
            <w:rFonts w:ascii="Times New Roman" w:hAnsi="Times New Roman" w:cs="Times New Roman"/>
            <w:sz w:val="26"/>
            <w:szCs w:val="26"/>
          </w:rPr>
          <w:t>142.4</w:t>
        </w:r>
      </w:hyperlink>
      <w:r w:rsidRPr="002D1F89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8">
        <w:r w:rsidRPr="002D1F89">
          <w:rPr>
            <w:rFonts w:ascii="Times New Roman" w:hAnsi="Times New Roman" w:cs="Times New Roman"/>
            <w:sz w:val="26"/>
            <w:szCs w:val="26"/>
          </w:rPr>
          <w:t>частью 3 статьи 65</w:t>
        </w:r>
      </w:hyperlink>
      <w:r w:rsidRPr="002D1F89"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постановлением Правительства Красноярского края от 30 сентября 2013 года № 517-п </w:t>
      </w:r>
      <w:r w:rsidR="0046376D" w:rsidRPr="002D1F89">
        <w:rPr>
          <w:rFonts w:ascii="Times New Roman" w:hAnsi="Times New Roman" w:cs="Times New Roman"/>
          <w:sz w:val="26"/>
          <w:szCs w:val="26"/>
        </w:rPr>
        <w:t xml:space="preserve"> </w:t>
      </w:r>
      <w:r w:rsidRPr="002D1F89">
        <w:rPr>
          <w:rFonts w:ascii="Times New Roman" w:hAnsi="Times New Roman" w:cs="Times New Roman"/>
          <w:sz w:val="26"/>
          <w:szCs w:val="26"/>
        </w:rPr>
        <w:t xml:space="preserve">«Об утверждении государственной программы Красноярского края «Содействие </w:t>
      </w:r>
      <w:r w:rsidR="0046376D" w:rsidRPr="002D1F89">
        <w:rPr>
          <w:rFonts w:ascii="Times New Roman" w:hAnsi="Times New Roman" w:cs="Times New Roman"/>
          <w:sz w:val="26"/>
          <w:szCs w:val="26"/>
        </w:rPr>
        <w:t xml:space="preserve"> </w:t>
      </w:r>
      <w:r w:rsidRPr="002D1F89">
        <w:rPr>
          <w:rFonts w:ascii="Times New Roman" w:hAnsi="Times New Roman" w:cs="Times New Roman"/>
          <w:sz w:val="26"/>
          <w:szCs w:val="26"/>
        </w:rPr>
        <w:t>развитию местного самоуправления», постановлением Правительства Красноярского края от 31 декабря 2019 года</w:t>
      </w:r>
      <w:proofErr w:type="gramEnd"/>
      <w:r w:rsidRPr="002D1F89">
        <w:rPr>
          <w:rFonts w:ascii="Times New Roman" w:hAnsi="Times New Roman" w:cs="Times New Roman"/>
          <w:sz w:val="26"/>
          <w:szCs w:val="26"/>
        </w:rPr>
        <w:t xml:space="preserve"> №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 xml:space="preserve">793-п «Об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инициатив», </w:t>
      </w:r>
      <w:hyperlink r:id="rId9" w:history="1">
        <w:r w:rsidRPr="002D1F89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2D1F89">
        <w:rPr>
          <w:rFonts w:ascii="Times New Roman" w:hAnsi="Times New Roman" w:cs="Times New Roman"/>
          <w:sz w:val="26"/>
          <w:szCs w:val="26"/>
        </w:rPr>
        <w:t xml:space="preserve"> Правительства Красноярского края от </w:t>
      </w:r>
      <w:r w:rsidR="00F02DBA" w:rsidRPr="002D1F89">
        <w:rPr>
          <w:rFonts w:ascii="Times New Roman" w:hAnsi="Times New Roman" w:cs="Times New Roman"/>
          <w:sz w:val="26"/>
          <w:szCs w:val="26"/>
        </w:rPr>
        <w:t>03 апреля 2024</w:t>
      </w:r>
      <w:r w:rsidRPr="002D1F89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F02DBA" w:rsidRPr="002D1F89">
        <w:rPr>
          <w:rFonts w:ascii="Times New Roman" w:hAnsi="Times New Roman" w:cs="Times New Roman"/>
          <w:sz w:val="26"/>
          <w:szCs w:val="26"/>
        </w:rPr>
        <w:t>223</w:t>
      </w:r>
      <w:r w:rsidRPr="002D1F89">
        <w:rPr>
          <w:rFonts w:ascii="Times New Roman" w:hAnsi="Times New Roman" w:cs="Times New Roman"/>
          <w:sz w:val="26"/>
          <w:szCs w:val="26"/>
        </w:rPr>
        <w:t>-п «Об утверждении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</w:t>
      </w:r>
      <w:r w:rsidR="005B5294" w:rsidRPr="002D1F89">
        <w:rPr>
          <w:rFonts w:ascii="Times New Roman" w:hAnsi="Times New Roman" w:cs="Times New Roman"/>
          <w:sz w:val="26"/>
          <w:szCs w:val="26"/>
        </w:rPr>
        <w:t>держке местных инициатив</w:t>
      </w:r>
      <w:r w:rsidRPr="002D1F89">
        <w:rPr>
          <w:rFonts w:ascii="Times New Roman" w:hAnsi="Times New Roman" w:cs="Times New Roman"/>
          <w:sz w:val="26"/>
          <w:szCs w:val="26"/>
        </w:rPr>
        <w:t xml:space="preserve">», </w:t>
      </w:r>
      <w:hyperlink r:id="rId10">
        <w:r w:rsidRPr="002D1F89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2D1F89">
        <w:rPr>
          <w:rFonts w:ascii="Times New Roman" w:hAnsi="Times New Roman" w:cs="Times New Roman"/>
          <w:sz w:val="26"/>
          <w:szCs w:val="26"/>
        </w:rPr>
        <w:t xml:space="preserve"> Таймырского</w:t>
      </w:r>
      <w:proofErr w:type="gramEnd"/>
      <w:r w:rsidRPr="002D1F89">
        <w:rPr>
          <w:rFonts w:ascii="Times New Roman" w:hAnsi="Times New Roman" w:cs="Times New Roman"/>
          <w:sz w:val="26"/>
          <w:szCs w:val="26"/>
        </w:rPr>
        <w:t xml:space="preserve"> Долгано-Ненецкого муниципального района, Таймырский Долгано-Ненецкий районный Совет депутатов решил:</w:t>
      </w:r>
    </w:p>
    <w:p w:rsidR="00190509" w:rsidRPr="002D1F89" w:rsidRDefault="00190509" w:rsidP="002D1F89">
      <w:pPr>
        <w:pStyle w:val="ConsPlusNormal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2D1F89">
        <w:rPr>
          <w:rFonts w:ascii="Times New Roman" w:hAnsi="Times New Roman" w:cs="Times New Roman"/>
          <w:bCs/>
          <w:sz w:val="26"/>
          <w:szCs w:val="26"/>
        </w:rPr>
        <w:t>Порядок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которых являются иные межбюджетны</w:t>
      </w:r>
      <w:r w:rsidR="009740E0" w:rsidRPr="002D1F89">
        <w:rPr>
          <w:rFonts w:ascii="Times New Roman" w:hAnsi="Times New Roman" w:cs="Times New Roman"/>
          <w:bCs/>
          <w:sz w:val="26"/>
          <w:szCs w:val="26"/>
        </w:rPr>
        <w:t>е</w:t>
      </w:r>
      <w:r w:rsidRPr="002D1F89">
        <w:rPr>
          <w:rFonts w:ascii="Times New Roman" w:hAnsi="Times New Roman" w:cs="Times New Roman"/>
          <w:bCs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</w:t>
      </w:r>
      <w:r w:rsidR="005B5294" w:rsidRPr="002D1F89">
        <w:rPr>
          <w:rFonts w:ascii="Times New Roman" w:hAnsi="Times New Roman" w:cs="Times New Roman"/>
          <w:bCs/>
          <w:sz w:val="26"/>
          <w:szCs w:val="26"/>
        </w:rPr>
        <w:t>держке местных инициатив</w:t>
      </w:r>
      <w:r w:rsidRPr="002D1F89">
        <w:rPr>
          <w:rFonts w:ascii="Times New Roman" w:hAnsi="Times New Roman" w:cs="Times New Roman"/>
          <w:sz w:val="26"/>
          <w:szCs w:val="26"/>
        </w:rPr>
        <w:t>, согласно приложению к настоящему Решению.</w:t>
      </w:r>
    </w:p>
    <w:p w:rsidR="00190509" w:rsidRPr="002D1F89" w:rsidRDefault="00190509" w:rsidP="002D1F89">
      <w:pPr>
        <w:pStyle w:val="ConsPlusNormal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</w:t>
      </w:r>
      <w:r w:rsidR="00350670" w:rsidRPr="002D1F89">
        <w:rPr>
          <w:rFonts w:ascii="Times New Roman" w:hAnsi="Times New Roman" w:cs="Times New Roman"/>
          <w:sz w:val="26"/>
          <w:szCs w:val="26"/>
        </w:rPr>
        <w:t>после</w:t>
      </w:r>
      <w:r w:rsidRPr="002D1F89">
        <w:rPr>
          <w:rFonts w:ascii="Times New Roman" w:hAnsi="Times New Roman" w:cs="Times New Roman"/>
          <w:sz w:val="26"/>
          <w:szCs w:val="26"/>
        </w:rPr>
        <w:t xml:space="preserve"> его официального </w:t>
      </w:r>
      <w:r w:rsidR="00350670" w:rsidRPr="002D1F89">
        <w:rPr>
          <w:rFonts w:ascii="Times New Roman" w:hAnsi="Times New Roman" w:cs="Times New Roman"/>
          <w:sz w:val="26"/>
          <w:szCs w:val="26"/>
        </w:rPr>
        <w:t>обнародования</w:t>
      </w:r>
      <w:r w:rsidRPr="002D1F89">
        <w:rPr>
          <w:rFonts w:ascii="Times New Roman" w:hAnsi="Times New Roman" w:cs="Times New Roman"/>
          <w:sz w:val="26"/>
          <w:szCs w:val="26"/>
        </w:rPr>
        <w:t>.</w:t>
      </w:r>
    </w:p>
    <w:p w:rsidR="00F41BE1" w:rsidRPr="002D1F89" w:rsidRDefault="00F41BE1" w:rsidP="002D1F89">
      <w:pPr>
        <w:pStyle w:val="ConsPlusNormal"/>
        <w:tabs>
          <w:tab w:val="left" w:pos="9355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709"/>
        <w:gridCol w:w="4677"/>
      </w:tblGrid>
      <w:tr w:rsidR="00F41BE1" w:rsidRPr="002D1F89" w:rsidTr="00EA5FFD">
        <w:tc>
          <w:tcPr>
            <w:tcW w:w="4361" w:type="dxa"/>
            <w:shd w:val="clear" w:color="auto" w:fill="auto"/>
          </w:tcPr>
          <w:p w:rsidR="00F41BE1" w:rsidRPr="002D1F89" w:rsidRDefault="00F41BE1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Председатель </w:t>
            </w:r>
            <w:proofErr w:type="gramStart"/>
            <w:r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>Таймырского</w:t>
            </w:r>
            <w:proofErr w:type="gramEnd"/>
            <w:r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41BE1" w:rsidRPr="002D1F89" w:rsidRDefault="00F41BE1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Долгано-Ненецкого районного Совета депутатов </w:t>
            </w:r>
          </w:p>
          <w:p w:rsidR="00F41BE1" w:rsidRPr="002D1F89" w:rsidRDefault="00F41BE1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41BE1" w:rsidRPr="002D1F89" w:rsidRDefault="002D1F89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  <w:r w:rsidR="00F41BE1"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>В.Н. Шишов</w:t>
            </w:r>
          </w:p>
        </w:tc>
        <w:tc>
          <w:tcPr>
            <w:tcW w:w="709" w:type="dxa"/>
            <w:shd w:val="clear" w:color="auto" w:fill="auto"/>
          </w:tcPr>
          <w:p w:rsidR="00F41BE1" w:rsidRPr="002D1F89" w:rsidRDefault="00F41BE1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7" w:type="dxa"/>
            <w:shd w:val="clear" w:color="auto" w:fill="auto"/>
          </w:tcPr>
          <w:p w:rsidR="00F41BE1" w:rsidRPr="002D1F89" w:rsidRDefault="006C0E51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>Глав</w:t>
            </w:r>
            <w:r w:rsidR="00B8295E"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F41BE1"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="00F41BE1"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>Таймырского</w:t>
            </w:r>
            <w:proofErr w:type="gramEnd"/>
            <w:r w:rsidR="00F41BE1"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41BE1" w:rsidRPr="002D1F89" w:rsidRDefault="00F41BE1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Долгано-Ненецкого муниципального района </w:t>
            </w:r>
          </w:p>
          <w:p w:rsidR="0046376D" w:rsidRPr="002D1F89" w:rsidRDefault="0046376D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41BE1" w:rsidRPr="002D1F89" w:rsidRDefault="00B8295E" w:rsidP="002D1F89">
            <w:pPr>
              <w:tabs>
                <w:tab w:val="left" w:pos="935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 Е.В</w:t>
            </w:r>
            <w:r w:rsidR="00F41BE1"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2D1F89">
              <w:rPr>
                <w:rFonts w:ascii="Times New Roman" w:hAnsi="Times New Roman" w:cs="Times New Roman"/>
                <w:b/>
                <w:sz w:val="26"/>
                <w:szCs w:val="26"/>
              </w:rPr>
              <w:t>Вершинин</w:t>
            </w:r>
          </w:p>
        </w:tc>
      </w:tr>
    </w:tbl>
    <w:p w:rsidR="00B8295E" w:rsidRDefault="00B8295E" w:rsidP="0046376D">
      <w:pPr>
        <w:pStyle w:val="ConsPlusNormal"/>
        <w:tabs>
          <w:tab w:val="left" w:pos="9355"/>
        </w:tabs>
        <w:spacing w:line="276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41BE1" w:rsidRPr="002D1F89" w:rsidRDefault="00F41BE1" w:rsidP="0046376D">
      <w:pPr>
        <w:pStyle w:val="ConsPlusNormal"/>
        <w:tabs>
          <w:tab w:val="left" w:pos="9355"/>
        </w:tabs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190509" w:rsidRPr="002D1F89" w:rsidRDefault="00190509" w:rsidP="0046376D">
      <w:pPr>
        <w:pStyle w:val="ConsPlusNormal"/>
        <w:tabs>
          <w:tab w:val="left" w:pos="9355"/>
        </w:tabs>
        <w:ind w:left="5387" w:right="-1"/>
        <w:jc w:val="right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>Таймырского</w:t>
      </w:r>
      <w:proofErr w:type="gramEnd"/>
      <w:r w:rsidRPr="002D1F89">
        <w:rPr>
          <w:rFonts w:ascii="Times New Roman" w:hAnsi="Times New Roman" w:cs="Times New Roman"/>
          <w:sz w:val="26"/>
          <w:szCs w:val="26"/>
        </w:rPr>
        <w:t xml:space="preserve"> Долгано-</w:t>
      </w:r>
    </w:p>
    <w:p w:rsidR="00190509" w:rsidRPr="002D1F89" w:rsidRDefault="00190509" w:rsidP="0046376D">
      <w:pPr>
        <w:pStyle w:val="ConsPlusNormal"/>
        <w:tabs>
          <w:tab w:val="left" w:pos="9355"/>
        </w:tabs>
        <w:ind w:left="5387" w:right="-1"/>
        <w:jc w:val="right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Ненецкого районного Совета депутатов</w:t>
      </w:r>
    </w:p>
    <w:p w:rsidR="00190509" w:rsidRPr="002D1F89" w:rsidRDefault="0091587E" w:rsidP="0046376D">
      <w:pPr>
        <w:pStyle w:val="ConsPlusNormal"/>
        <w:tabs>
          <w:tab w:val="left" w:pos="9355"/>
        </w:tabs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от «___» __________ 2024</w:t>
      </w:r>
      <w:r w:rsidR="00190509" w:rsidRPr="002D1F89">
        <w:rPr>
          <w:rFonts w:ascii="Times New Roman" w:hAnsi="Times New Roman" w:cs="Times New Roman"/>
          <w:sz w:val="26"/>
          <w:szCs w:val="26"/>
        </w:rPr>
        <w:t xml:space="preserve"> года. № ____</w:t>
      </w:r>
    </w:p>
    <w:p w:rsidR="00190509" w:rsidRPr="002D1F89" w:rsidRDefault="00190509" w:rsidP="0046376D">
      <w:pPr>
        <w:pStyle w:val="ConsPlusNormal"/>
        <w:tabs>
          <w:tab w:val="left" w:pos="9355"/>
        </w:tabs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0509" w:rsidRPr="002D1F89" w:rsidRDefault="00190509" w:rsidP="0046376D">
      <w:pPr>
        <w:pStyle w:val="ConsPlusNormal"/>
        <w:tabs>
          <w:tab w:val="left" w:pos="9355"/>
        </w:tabs>
        <w:ind w:right="-1"/>
        <w:jc w:val="both"/>
        <w:rPr>
          <w:rFonts w:ascii="Times New Roman" w:hAnsi="Times New Roman" w:cs="Times New Roman"/>
          <w:sz w:val="26"/>
          <w:szCs w:val="26"/>
        </w:rPr>
      </w:pPr>
      <w:bookmarkStart w:id="0" w:name="P40"/>
      <w:bookmarkEnd w:id="0"/>
      <w:r w:rsidRPr="002D1F89">
        <w:rPr>
          <w:rFonts w:ascii="Times New Roman" w:hAnsi="Times New Roman" w:cs="Times New Roman"/>
          <w:b/>
          <w:bCs/>
          <w:sz w:val="26"/>
          <w:szCs w:val="26"/>
        </w:rPr>
        <w:t>Порядок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</w:t>
      </w:r>
      <w:r w:rsidR="0046376D" w:rsidRPr="002D1F89">
        <w:rPr>
          <w:rFonts w:ascii="Times New Roman" w:hAnsi="Times New Roman" w:cs="Times New Roman"/>
          <w:b/>
          <w:bCs/>
          <w:sz w:val="26"/>
          <w:szCs w:val="26"/>
        </w:rPr>
        <w:t>торых являются иные межбюджетные</w:t>
      </w:r>
      <w:r w:rsidRPr="002D1F89">
        <w:rPr>
          <w:rFonts w:ascii="Times New Roman" w:hAnsi="Times New Roman" w:cs="Times New Roman"/>
          <w:b/>
          <w:bCs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</w:t>
      </w:r>
      <w:r w:rsidR="005B5294" w:rsidRPr="002D1F89">
        <w:rPr>
          <w:rFonts w:ascii="Times New Roman" w:hAnsi="Times New Roman" w:cs="Times New Roman"/>
          <w:b/>
          <w:bCs/>
          <w:sz w:val="26"/>
          <w:szCs w:val="26"/>
        </w:rPr>
        <w:t>держке местных инициатив</w:t>
      </w:r>
    </w:p>
    <w:p w:rsidR="00C1677F" w:rsidRPr="002D1F89" w:rsidRDefault="00C1677F" w:rsidP="0046376D">
      <w:pPr>
        <w:pStyle w:val="ConsPlusTitle"/>
        <w:tabs>
          <w:tab w:val="left" w:pos="9355"/>
        </w:tabs>
        <w:ind w:right="-1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90509" w:rsidRPr="002D1F89" w:rsidRDefault="00190509" w:rsidP="0046376D">
      <w:pPr>
        <w:pStyle w:val="ConsPlusTitle"/>
        <w:tabs>
          <w:tab w:val="left" w:pos="9355"/>
        </w:tabs>
        <w:ind w:right="-1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190509" w:rsidRPr="002D1F89" w:rsidRDefault="00190509" w:rsidP="0046376D">
      <w:pPr>
        <w:pStyle w:val="ConsPlusNormal"/>
        <w:tabs>
          <w:tab w:val="left" w:pos="9355"/>
        </w:tabs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0509" w:rsidRPr="002D1F89" w:rsidRDefault="00190509" w:rsidP="0046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2"/>
      <w:bookmarkEnd w:id="1"/>
      <w:r w:rsidRPr="002D1F8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2D1F89">
        <w:rPr>
          <w:rFonts w:ascii="Times New Roman" w:hAnsi="Times New Roman" w:cs="Times New Roman"/>
          <w:bCs/>
          <w:sz w:val="26"/>
          <w:szCs w:val="26"/>
        </w:rPr>
        <w:t>Порядком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которых</w:t>
      </w:r>
      <w:r w:rsidR="00C1677F" w:rsidRPr="002D1F89">
        <w:rPr>
          <w:rFonts w:ascii="Times New Roman" w:hAnsi="Times New Roman" w:cs="Times New Roman"/>
          <w:bCs/>
          <w:color w:val="FF0000"/>
          <w:sz w:val="26"/>
          <w:szCs w:val="26"/>
        </w:rPr>
        <w:t>,</w:t>
      </w:r>
      <w:r w:rsidR="0046376D" w:rsidRPr="002D1F89">
        <w:rPr>
          <w:rFonts w:ascii="Times New Roman" w:hAnsi="Times New Roman" w:cs="Times New Roman"/>
          <w:bCs/>
          <w:sz w:val="26"/>
          <w:szCs w:val="26"/>
        </w:rPr>
        <w:t xml:space="preserve"> являются иные межбюджетные</w:t>
      </w:r>
      <w:r w:rsidRPr="002D1F89">
        <w:rPr>
          <w:rFonts w:ascii="Times New Roman" w:hAnsi="Times New Roman" w:cs="Times New Roman"/>
          <w:bCs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</w:t>
      </w:r>
      <w:r w:rsidR="0091587E" w:rsidRPr="002D1F89">
        <w:rPr>
          <w:rFonts w:ascii="Times New Roman" w:hAnsi="Times New Roman" w:cs="Times New Roman"/>
          <w:bCs/>
          <w:sz w:val="26"/>
          <w:szCs w:val="26"/>
        </w:rPr>
        <w:t xml:space="preserve">держке местных инициатив </w:t>
      </w:r>
      <w:r w:rsidRPr="002D1F89">
        <w:rPr>
          <w:rFonts w:ascii="Times New Roman" w:hAnsi="Times New Roman" w:cs="Times New Roman"/>
          <w:sz w:val="26"/>
          <w:szCs w:val="26"/>
        </w:rPr>
        <w:t>(далее - Порядок), устанавливаются правила предоставления из бюджета Таймырского Долгано-Ненецкого муниципального района (далее - районный бюджет) бюджету муниципального образования сельское поселение</w:t>
      </w:r>
      <w:proofErr w:type="gramEnd"/>
      <w:r w:rsidRPr="002D1F8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 xml:space="preserve">Хатанга (далее - </w:t>
      </w:r>
      <w:r w:rsidRPr="002D1F89">
        <w:rPr>
          <w:rFonts w:ascii="Times New Roman" w:hAnsi="Times New Roman" w:cs="Times New Roman"/>
          <w:color w:val="000000" w:themeColor="text1"/>
          <w:sz w:val="26"/>
          <w:szCs w:val="26"/>
        </w:rPr>
        <w:t>поселени</w:t>
      </w:r>
      <w:r w:rsidR="00C1677F" w:rsidRPr="002D1F8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2D1F89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2D1F89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</w:t>
      </w:r>
      <w:r w:rsidRPr="002D1F89">
        <w:rPr>
          <w:rFonts w:ascii="Times New Roman" w:hAnsi="Times New Roman" w:cs="Times New Roman"/>
          <w:bCs/>
          <w:sz w:val="26"/>
          <w:szCs w:val="26"/>
        </w:rPr>
        <w:t>на осуществление расходов, направленных на реализацию мероприятий по под</w:t>
      </w:r>
      <w:r w:rsidR="0091587E" w:rsidRPr="002D1F89">
        <w:rPr>
          <w:rFonts w:ascii="Times New Roman" w:hAnsi="Times New Roman" w:cs="Times New Roman"/>
          <w:bCs/>
          <w:sz w:val="26"/>
          <w:szCs w:val="26"/>
        </w:rPr>
        <w:t xml:space="preserve">держке местных инициатив </w:t>
      </w:r>
      <w:r w:rsidRPr="002D1F89">
        <w:rPr>
          <w:rFonts w:ascii="Times New Roman" w:hAnsi="Times New Roman" w:cs="Times New Roman"/>
          <w:bCs/>
          <w:sz w:val="26"/>
          <w:szCs w:val="26"/>
        </w:rPr>
        <w:t>(далее – иные межбюджетные трансферты),</w:t>
      </w:r>
      <w:r w:rsidRPr="002D1F89">
        <w:rPr>
          <w:rFonts w:ascii="Times New Roman" w:hAnsi="Times New Roman" w:cs="Times New Roman"/>
          <w:sz w:val="26"/>
          <w:szCs w:val="26"/>
        </w:rPr>
        <w:t xml:space="preserve"> источником финансового обеспечения которых является иной межбюджетный трансферт из бюджета Красноярского края (далее – краевой бюджет) бюджетам муниципальных образований Красноярского края </w:t>
      </w:r>
      <w:r w:rsidR="000D7C01" w:rsidRPr="002D1F89">
        <w:rPr>
          <w:rFonts w:ascii="Times New Roman" w:hAnsi="Times New Roman" w:cs="Times New Roman"/>
          <w:sz w:val="26"/>
          <w:szCs w:val="26"/>
        </w:rPr>
        <w:t xml:space="preserve">на осуществление расходов, направленных на реализацию инициативных проектов, выдвигаемых в соответствии со </w:t>
      </w:r>
      <w:hyperlink r:id="rId11" w:history="1">
        <w:r w:rsidR="000D7C01" w:rsidRPr="002D1F89">
          <w:rPr>
            <w:rFonts w:ascii="Times New Roman" w:hAnsi="Times New Roman" w:cs="Times New Roman"/>
            <w:sz w:val="26"/>
            <w:szCs w:val="26"/>
          </w:rPr>
          <w:t>статьей 26.1</w:t>
        </w:r>
      </w:hyperlink>
      <w:r w:rsidR="000D7C01" w:rsidRPr="002D1F89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</w:t>
      </w:r>
      <w:proofErr w:type="gramEnd"/>
      <w:r w:rsidR="000D7C01" w:rsidRPr="002D1F89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</w:t>
      </w:r>
      <w:r w:rsidR="0046376D" w:rsidRPr="002D1F89">
        <w:rPr>
          <w:rFonts w:ascii="Times New Roman" w:hAnsi="Times New Roman" w:cs="Times New Roman"/>
          <w:sz w:val="26"/>
          <w:szCs w:val="26"/>
        </w:rPr>
        <w:t xml:space="preserve">вления в Российской Федерации» </w:t>
      </w:r>
      <w:r w:rsidRPr="002D1F89">
        <w:rPr>
          <w:rFonts w:ascii="Times New Roman" w:hAnsi="Times New Roman" w:cs="Times New Roman"/>
          <w:sz w:val="26"/>
          <w:szCs w:val="26"/>
        </w:rPr>
        <w:t>(далее – целевые иные межбюджетные трансферты).</w:t>
      </w:r>
    </w:p>
    <w:p w:rsidR="000D7C01" w:rsidRPr="002D1F89" w:rsidRDefault="000D7C01" w:rsidP="0046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Иные межбюджетные трансферты предоставляются бюджету</w:t>
      </w:r>
      <w:r w:rsidR="00647C6C" w:rsidRPr="002D1F89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2D1F89">
        <w:rPr>
          <w:rFonts w:ascii="Times New Roman" w:hAnsi="Times New Roman" w:cs="Times New Roman"/>
          <w:sz w:val="26"/>
          <w:szCs w:val="26"/>
        </w:rPr>
        <w:t xml:space="preserve"> в целях реализации мероприятий, имеющих приоритетное значение для жителей </w:t>
      </w:r>
      <w:r w:rsidR="00647C6C" w:rsidRPr="002D1F89">
        <w:rPr>
          <w:rFonts w:ascii="Times New Roman" w:hAnsi="Times New Roman" w:cs="Times New Roman"/>
          <w:sz w:val="26"/>
          <w:szCs w:val="26"/>
        </w:rPr>
        <w:t>поселения</w:t>
      </w:r>
      <w:r w:rsidRPr="002D1F89">
        <w:rPr>
          <w:rFonts w:ascii="Times New Roman" w:hAnsi="Times New Roman" w:cs="Times New Roman"/>
          <w:sz w:val="26"/>
          <w:szCs w:val="26"/>
        </w:rPr>
        <w:t xml:space="preserve"> или его части, по решению вопросов местного значения или иных вопросов, право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>решения</w:t>
      </w:r>
      <w:proofErr w:type="gramEnd"/>
      <w:r w:rsidRPr="002D1F89">
        <w:rPr>
          <w:rFonts w:ascii="Times New Roman" w:hAnsi="Times New Roman" w:cs="Times New Roman"/>
          <w:sz w:val="26"/>
          <w:szCs w:val="26"/>
        </w:rPr>
        <w:t xml:space="preserve"> которых предоставлено органам местного самоуправления.</w:t>
      </w:r>
    </w:p>
    <w:p w:rsidR="00190509" w:rsidRPr="002D1F89" w:rsidRDefault="00190509" w:rsidP="0046376D">
      <w:pPr>
        <w:pStyle w:val="ConsPlusNormal"/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 xml:space="preserve">2. Указанные в </w:t>
      </w:r>
      <w:hyperlink w:anchor="P52">
        <w:r w:rsidRPr="002D1F89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2D1F89">
        <w:rPr>
          <w:rFonts w:ascii="Times New Roman" w:hAnsi="Times New Roman" w:cs="Times New Roman"/>
          <w:sz w:val="26"/>
          <w:szCs w:val="26"/>
        </w:rPr>
        <w:t xml:space="preserve"> настоящего Порядка иные межбюджетные трансферты предоставляются бюджету поселения:</w:t>
      </w:r>
    </w:p>
    <w:p w:rsidR="00190509" w:rsidRPr="002D1F89" w:rsidRDefault="00190509" w:rsidP="0046376D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на реализацию инициативных проектов, направленных на развитие объектов общественной инфраструктуры (объектов коммунальной инфраструктуры и внешнего благоустройства; объектов культуры, спорта и молодежной политики; объектов, используемых для проведения общественных, культурно-массовых и спортивных мероприятий (площади, парки, спортивные и детские площадки, места отдыха); объектов для обеспечения первичных мер пожарной безопасности) территорий поселения, в том числе приобретение основных средств (машин, оборудования), отобранных при активном участии населения;</w:t>
      </w:r>
    </w:p>
    <w:p w:rsidR="002D1F89" w:rsidRDefault="00190509" w:rsidP="0046376D">
      <w:pPr>
        <w:pStyle w:val="ConsPlusNormal"/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в случае предоставления средств целевых межбюджетных трансфертов районному бюджету из краевого бюджета</w:t>
      </w:r>
      <w:r w:rsidR="00647C6C" w:rsidRPr="002D1F89">
        <w:rPr>
          <w:rFonts w:ascii="Times New Roman" w:hAnsi="Times New Roman" w:cs="Times New Roman"/>
          <w:sz w:val="26"/>
          <w:szCs w:val="26"/>
        </w:rPr>
        <w:t xml:space="preserve"> </w:t>
      </w:r>
      <w:r w:rsidRPr="002D1F89">
        <w:rPr>
          <w:rFonts w:ascii="Times New Roman" w:hAnsi="Times New Roman" w:cs="Times New Roman"/>
          <w:sz w:val="26"/>
          <w:szCs w:val="26"/>
        </w:rPr>
        <w:t xml:space="preserve">на условиях предоставления и распределения, установленных постановлением Правительства Красноярского края </w:t>
      </w:r>
      <w:r w:rsidR="002D1F89">
        <w:rPr>
          <w:rFonts w:ascii="Times New Roman" w:hAnsi="Times New Roman" w:cs="Times New Roman"/>
          <w:sz w:val="26"/>
          <w:szCs w:val="26"/>
        </w:rPr>
        <w:br/>
      </w:r>
    </w:p>
    <w:p w:rsidR="00190509" w:rsidRPr="002D1F89" w:rsidRDefault="00190509" w:rsidP="002D1F89">
      <w:pPr>
        <w:pStyle w:val="ConsPlusNormal"/>
        <w:tabs>
          <w:tab w:val="left" w:pos="9355"/>
        </w:tabs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lastRenderedPageBreak/>
        <w:t xml:space="preserve">от 31 декабря 2019 года № 793-п «Об утверждении Порядка предоставления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 xml:space="preserve">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инициатив» и </w:t>
      </w:r>
      <w:hyperlink r:id="rId12" w:history="1">
        <w:r w:rsidRPr="002D1F89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2D1F89">
        <w:rPr>
          <w:rFonts w:ascii="Times New Roman" w:hAnsi="Times New Roman" w:cs="Times New Roman"/>
          <w:sz w:val="26"/>
          <w:szCs w:val="26"/>
        </w:rPr>
        <w:t xml:space="preserve"> Правительства Красноярског</w:t>
      </w:r>
      <w:r w:rsidR="0091587E" w:rsidRPr="002D1F89">
        <w:rPr>
          <w:rFonts w:ascii="Times New Roman" w:hAnsi="Times New Roman" w:cs="Times New Roman"/>
          <w:sz w:val="26"/>
          <w:szCs w:val="26"/>
        </w:rPr>
        <w:t xml:space="preserve">о края от 03 апреля 2024 года № 223-п </w:t>
      </w:r>
      <w:r w:rsidRPr="002D1F89">
        <w:rPr>
          <w:rFonts w:ascii="Times New Roman" w:hAnsi="Times New Roman" w:cs="Times New Roman"/>
          <w:sz w:val="26"/>
          <w:szCs w:val="26"/>
        </w:rPr>
        <w:t>«Об утверждении распределения иных межбюджетных трансфертов бюджетам муниципальных</w:t>
      </w:r>
      <w:r w:rsidR="00EC70C8" w:rsidRPr="002D1F89">
        <w:rPr>
          <w:rFonts w:ascii="Times New Roman" w:hAnsi="Times New Roman" w:cs="Times New Roman"/>
          <w:sz w:val="26"/>
          <w:szCs w:val="26"/>
        </w:rPr>
        <w:t xml:space="preserve"> </w:t>
      </w:r>
      <w:r w:rsidRPr="002D1F89">
        <w:rPr>
          <w:rFonts w:ascii="Times New Roman" w:hAnsi="Times New Roman" w:cs="Times New Roman"/>
          <w:sz w:val="26"/>
          <w:szCs w:val="26"/>
        </w:rPr>
        <w:t>образований Красноярского края на осуществление расходов, направленных на реализацию мероприятий по под</w:t>
      </w:r>
      <w:r w:rsidR="003E1655" w:rsidRPr="002D1F89">
        <w:rPr>
          <w:rFonts w:ascii="Times New Roman" w:hAnsi="Times New Roman" w:cs="Times New Roman"/>
          <w:sz w:val="26"/>
          <w:szCs w:val="26"/>
        </w:rPr>
        <w:t>держке местных инициатив</w:t>
      </w:r>
      <w:r w:rsidRPr="002D1F89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190509" w:rsidRPr="002D1F89" w:rsidRDefault="00190509" w:rsidP="0046376D">
      <w:pPr>
        <w:pStyle w:val="ConsPlusNormal"/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3. Главным распорядителем бю</w:t>
      </w:r>
      <w:r w:rsidR="00EC70C8" w:rsidRPr="002D1F89">
        <w:rPr>
          <w:rFonts w:ascii="Times New Roman" w:hAnsi="Times New Roman" w:cs="Times New Roman"/>
          <w:sz w:val="26"/>
          <w:szCs w:val="26"/>
        </w:rPr>
        <w:t xml:space="preserve">джетных средств, уполномоченным </w:t>
      </w:r>
      <w:r w:rsidRPr="002D1F89">
        <w:rPr>
          <w:rFonts w:ascii="Times New Roman" w:hAnsi="Times New Roman" w:cs="Times New Roman"/>
          <w:sz w:val="26"/>
          <w:szCs w:val="26"/>
        </w:rPr>
        <w:t>на предоставление средств иных межбюджетных трансфертов</w:t>
      </w:r>
      <w:r w:rsidR="00427A0C" w:rsidRPr="002D1F89">
        <w:rPr>
          <w:rFonts w:ascii="Times New Roman" w:hAnsi="Times New Roman" w:cs="Times New Roman"/>
          <w:sz w:val="26"/>
          <w:szCs w:val="26"/>
        </w:rPr>
        <w:t>, б</w:t>
      </w:r>
      <w:r w:rsidRPr="002D1F89">
        <w:rPr>
          <w:rFonts w:ascii="Times New Roman" w:hAnsi="Times New Roman" w:cs="Times New Roman"/>
          <w:sz w:val="26"/>
          <w:szCs w:val="26"/>
        </w:rPr>
        <w:t>юджету поселения, является Администрация Таймырского Долгано-Ненецкого муниципального района (далее – Администрация муниципального района).</w:t>
      </w:r>
    </w:p>
    <w:p w:rsidR="00915C88" w:rsidRPr="002D1F89" w:rsidRDefault="00915C88" w:rsidP="00463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D1F89">
        <w:rPr>
          <w:rFonts w:ascii="Times New Roman" w:hAnsi="Times New Roman" w:cs="Times New Roman"/>
          <w:sz w:val="26"/>
          <w:szCs w:val="26"/>
        </w:rPr>
        <w:t xml:space="preserve"> использованием средств иных межбюджетных трансфертов осуществляют исполнительно-распорядительные органы местного самоуправления муниципального района и поселения в соответствии с действующим законодательством Российской Федерации.</w:t>
      </w:r>
    </w:p>
    <w:p w:rsidR="00915C88" w:rsidRPr="002D1F89" w:rsidRDefault="00915C88" w:rsidP="0046376D">
      <w:pPr>
        <w:pStyle w:val="ConsPlusNormal"/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0509" w:rsidRPr="002D1F89" w:rsidRDefault="00190509" w:rsidP="0046376D">
      <w:pPr>
        <w:pStyle w:val="ConsPlusTitle"/>
        <w:tabs>
          <w:tab w:val="left" w:pos="9355"/>
        </w:tabs>
        <w:ind w:right="-1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II. ПОРЯДОК ПРЕДОСТАВЛЕНИЯ ИНЫХ МЕЖБЮДЖЕТНЫХ ТРАНСФЕРТОВ</w:t>
      </w:r>
    </w:p>
    <w:p w:rsidR="00190509" w:rsidRPr="002D1F89" w:rsidRDefault="00190509" w:rsidP="0046376D">
      <w:pPr>
        <w:pStyle w:val="ConsPlusNormal"/>
        <w:tabs>
          <w:tab w:val="left" w:pos="9355"/>
        </w:tabs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90509" w:rsidRPr="002D1F89" w:rsidRDefault="00190509" w:rsidP="0046376D">
      <w:pPr>
        <w:pStyle w:val="ConsPlusNormal"/>
        <w:tabs>
          <w:tab w:val="left" w:pos="9355"/>
        </w:tabs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>Предоставление иных межбюджетных трансферто</w:t>
      </w:r>
      <w:r w:rsidR="00416996" w:rsidRPr="002D1F89">
        <w:rPr>
          <w:rFonts w:ascii="Times New Roman" w:hAnsi="Times New Roman" w:cs="Times New Roman"/>
          <w:sz w:val="26"/>
          <w:szCs w:val="26"/>
        </w:rPr>
        <w:t xml:space="preserve">в из районного бюджета бюджету </w:t>
      </w:r>
      <w:r w:rsidRPr="002D1F89">
        <w:rPr>
          <w:rFonts w:ascii="Times New Roman" w:hAnsi="Times New Roman" w:cs="Times New Roman"/>
          <w:sz w:val="26"/>
          <w:szCs w:val="26"/>
        </w:rPr>
        <w:t>поселения производится в порядк</w:t>
      </w:r>
      <w:r w:rsidR="000162AF" w:rsidRPr="002D1F89">
        <w:rPr>
          <w:rFonts w:ascii="Times New Roman" w:hAnsi="Times New Roman" w:cs="Times New Roman"/>
          <w:sz w:val="26"/>
          <w:szCs w:val="26"/>
        </w:rPr>
        <w:t>е</w:t>
      </w:r>
      <w:r w:rsidRPr="002D1F89">
        <w:rPr>
          <w:rFonts w:ascii="Times New Roman" w:hAnsi="Times New Roman" w:cs="Times New Roman"/>
          <w:sz w:val="26"/>
          <w:szCs w:val="26"/>
        </w:rPr>
        <w:t xml:space="preserve">, </w:t>
      </w:r>
      <w:r w:rsidR="00262E9C" w:rsidRPr="002D1F89">
        <w:rPr>
          <w:rFonts w:ascii="Times New Roman" w:hAnsi="Times New Roman" w:cs="Times New Roman"/>
          <w:sz w:val="26"/>
          <w:szCs w:val="26"/>
        </w:rPr>
        <w:t>утвержденн</w:t>
      </w:r>
      <w:r w:rsidR="00757D92" w:rsidRPr="002D1F89">
        <w:rPr>
          <w:rFonts w:ascii="Times New Roman" w:hAnsi="Times New Roman" w:cs="Times New Roman"/>
          <w:sz w:val="26"/>
          <w:szCs w:val="26"/>
        </w:rPr>
        <w:t>о</w:t>
      </w:r>
      <w:r w:rsidR="00262E9C" w:rsidRPr="002D1F89">
        <w:rPr>
          <w:rFonts w:ascii="Times New Roman" w:hAnsi="Times New Roman" w:cs="Times New Roman"/>
          <w:sz w:val="26"/>
          <w:szCs w:val="26"/>
        </w:rPr>
        <w:t>м Администрацией муниципального района</w:t>
      </w:r>
      <w:r w:rsidR="00DB0D6D" w:rsidRPr="002D1F89">
        <w:rPr>
          <w:rFonts w:ascii="Times New Roman" w:hAnsi="Times New Roman" w:cs="Times New Roman"/>
          <w:sz w:val="26"/>
          <w:szCs w:val="26"/>
        </w:rPr>
        <w:t xml:space="preserve"> </w:t>
      </w:r>
      <w:r w:rsidR="00757D92" w:rsidRPr="002D1F89">
        <w:rPr>
          <w:rFonts w:ascii="Times New Roman" w:hAnsi="Times New Roman" w:cs="Times New Roman"/>
          <w:sz w:val="26"/>
          <w:szCs w:val="26"/>
        </w:rPr>
        <w:t>в соответствии с</w:t>
      </w:r>
      <w:r w:rsidR="00DB0D6D" w:rsidRPr="002D1F89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757D92" w:rsidRPr="002D1F89">
        <w:rPr>
          <w:rFonts w:ascii="Times New Roman" w:hAnsi="Times New Roman" w:cs="Times New Roman"/>
          <w:sz w:val="26"/>
          <w:szCs w:val="26"/>
        </w:rPr>
        <w:t>ами</w:t>
      </w:r>
      <w:r w:rsidR="00DB0D6D" w:rsidRPr="002D1F89">
        <w:rPr>
          <w:rFonts w:ascii="Times New Roman" w:hAnsi="Times New Roman" w:cs="Times New Roman"/>
          <w:sz w:val="26"/>
          <w:szCs w:val="26"/>
        </w:rPr>
        <w:t xml:space="preserve"> предоставления, установленны</w:t>
      </w:r>
      <w:r w:rsidR="00757D92" w:rsidRPr="002D1F89">
        <w:rPr>
          <w:rFonts w:ascii="Times New Roman" w:hAnsi="Times New Roman" w:cs="Times New Roman"/>
          <w:sz w:val="26"/>
          <w:szCs w:val="26"/>
        </w:rPr>
        <w:t>ми</w:t>
      </w:r>
      <w:r w:rsidR="00DB0D6D" w:rsidRPr="002D1F89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Красноярского края от 31 декабря 2019 года № 793-п «Об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инициатив»</w:t>
      </w:r>
      <w:r w:rsidR="00262E9C" w:rsidRPr="002D1F8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90509" w:rsidRPr="002D1F89" w:rsidRDefault="00190509" w:rsidP="0046376D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 xml:space="preserve">Предоставление иных межбюджетных трансфертов осуществляется на основании соглашения, заключенного между Администрацией муниципального района и </w:t>
      </w:r>
      <w:r w:rsidR="00262E9C" w:rsidRPr="002D1F89">
        <w:rPr>
          <w:rFonts w:ascii="Times New Roman" w:hAnsi="Times New Roman" w:cs="Times New Roman"/>
          <w:sz w:val="26"/>
          <w:szCs w:val="26"/>
        </w:rPr>
        <w:t>органом м</w:t>
      </w:r>
      <w:r w:rsidR="00C1677F" w:rsidRPr="002D1F89">
        <w:rPr>
          <w:rFonts w:ascii="Times New Roman" w:hAnsi="Times New Roman" w:cs="Times New Roman"/>
          <w:sz w:val="26"/>
          <w:szCs w:val="26"/>
        </w:rPr>
        <w:t xml:space="preserve">естного самоуправления поселения, </w:t>
      </w:r>
      <w:r w:rsidR="00262E9C" w:rsidRPr="002D1F89">
        <w:rPr>
          <w:rFonts w:ascii="Times New Roman" w:hAnsi="Times New Roman" w:cs="Times New Roman"/>
          <w:sz w:val="26"/>
          <w:szCs w:val="26"/>
        </w:rPr>
        <w:t>уполномоченным на его заключение</w:t>
      </w:r>
      <w:r w:rsidR="002D1F89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GoBack"/>
      <w:bookmarkEnd w:id="2"/>
      <w:r w:rsidR="00C1778B" w:rsidRPr="002D1F89">
        <w:rPr>
          <w:rFonts w:ascii="Times New Roman" w:hAnsi="Times New Roman" w:cs="Times New Roman"/>
          <w:sz w:val="26"/>
          <w:szCs w:val="26"/>
        </w:rPr>
        <w:t xml:space="preserve">(далее - Соглашение), </w:t>
      </w:r>
      <w:r w:rsidRPr="002D1F89">
        <w:rPr>
          <w:rFonts w:ascii="Times New Roman" w:hAnsi="Times New Roman" w:cs="Times New Roman"/>
          <w:sz w:val="26"/>
          <w:szCs w:val="26"/>
        </w:rPr>
        <w:t>в порядке исполнения расходов районного бюджета в соответствии со сводной бюджетной росписью и утвержденным кассовым планом районного бюджета, в пределах остатков средств соответствующих целевых межбюджетных трансфертов, поступивших из краевого бюджета.</w:t>
      </w:r>
      <w:proofErr w:type="gramEnd"/>
    </w:p>
    <w:p w:rsidR="00190509" w:rsidRPr="002D1F89" w:rsidRDefault="00190509" w:rsidP="0046376D">
      <w:pPr>
        <w:pStyle w:val="ConsPlusNormal"/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>6. Порядок заключения Соглашения предусматривает процесс подготовки его проекта Администрацией муниципального района, согласование проекта Соглашения в установленном порядке и подписание Соглашения уполномоченными представителями сторон.</w:t>
      </w:r>
    </w:p>
    <w:p w:rsidR="00190509" w:rsidRPr="002D1F89" w:rsidRDefault="00190509" w:rsidP="0046376D">
      <w:pPr>
        <w:pStyle w:val="ConsPlusNormal"/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F89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2D1F89">
        <w:rPr>
          <w:rFonts w:ascii="Times New Roman" w:hAnsi="Times New Roman" w:cs="Times New Roman"/>
          <w:sz w:val="26"/>
          <w:szCs w:val="26"/>
        </w:rPr>
        <w:t>Обязательными условиями, включаемыми в Соглашение являются наименование сторон, наименование и целевое назначение предоставляемых иных межбюджетных трансфертов, условия их предоставления и расходования, объем, сроки (график) перечисления, порядок осуществления контроля за соблюдением условий, установленных для их предоставления и расходования, сроки и порядок предоставления отчетности об осуществлении расходов, источником финансового обеспечения которых они являются, сведения о показателе результативности, порядок возврата неиспользованных остатков.</w:t>
      </w:r>
      <w:proofErr w:type="gramEnd"/>
      <w:r w:rsidRPr="002D1F89">
        <w:rPr>
          <w:rFonts w:ascii="Times New Roman" w:hAnsi="Times New Roman" w:cs="Times New Roman"/>
          <w:sz w:val="26"/>
          <w:szCs w:val="26"/>
        </w:rPr>
        <w:t xml:space="preserve"> Срок действия Соглашения, положения, устанавливающие основания и порядок прекращения его действия, в том числе досрочного, а также возможность заключения дополнительного Соглашения.</w:t>
      </w:r>
    </w:p>
    <w:p w:rsidR="002477B6" w:rsidRPr="002D1F89" w:rsidRDefault="002477B6" w:rsidP="0046376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sectPr w:rsidR="002477B6" w:rsidRPr="002D1F89" w:rsidSect="001645D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EB3"/>
    <w:multiLevelType w:val="hybridMultilevel"/>
    <w:tmpl w:val="6F48765C"/>
    <w:lvl w:ilvl="0" w:tplc="EAB835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1E"/>
    <w:rsid w:val="00004D67"/>
    <w:rsid w:val="00011E68"/>
    <w:rsid w:val="000162AF"/>
    <w:rsid w:val="00026F25"/>
    <w:rsid w:val="00041730"/>
    <w:rsid w:val="00042383"/>
    <w:rsid w:val="000432B0"/>
    <w:rsid w:val="00046F70"/>
    <w:rsid w:val="00056305"/>
    <w:rsid w:val="00062C02"/>
    <w:rsid w:val="00065A93"/>
    <w:rsid w:val="00077254"/>
    <w:rsid w:val="00097D82"/>
    <w:rsid w:val="000B1AD2"/>
    <w:rsid w:val="000C5FA5"/>
    <w:rsid w:val="000D7C01"/>
    <w:rsid w:val="000E5F3B"/>
    <w:rsid w:val="001118CD"/>
    <w:rsid w:val="00115A02"/>
    <w:rsid w:val="001225B2"/>
    <w:rsid w:val="00164540"/>
    <w:rsid w:val="001645DA"/>
    <w:rsid w:val="00175A76"/>
    <w:rsid w:val="00175B4E"/>
    <w:rsid w:val="00182CE9"/>
    <w:rsid w:val="00190509"/>
    <w:rsid w:val="001A17BD"/>
    <w:rsid w:val="001C146D"/>
    <w:rsid w:val="001C1B3E"/>
    <w:rsid w:val="001C632C"/>
    <w:rsid w:val="001E56B9"/>
    <w:rsid w:val="001F7D37"/>
    <w:rsid w:val="00201322"/>
    <w:rsid w:val="00202505"/>
    <w:rsid w:val="00212B07"/>
    <w:rsid w:val="00222B81"/>
    <w:rsid w:val="00227957"/>
    <w:rsid w:val="00230140"/>
    <w:rsid w:val="002362E3"/>
    <w:rsid w:val="00236307"/>
    <w:rsid w:val="00237036"/>
    <w:rsid w:val="00237785"/>
    <w:rsid w:val="002430A3"/>
    <w:rsid w:val="00245A8B"/>
    <w:rsid w:val="00246BCB"/>
    <w:rsid w:val="002477B6"/>
    <w:rsid w:val="00247E8F"/>
    <w:rsid w:val="00262E9C"/>
    <w:rsid w:val="002659C9"/>
    <w:rsid w:val="0027161A"/>
    <w:rsid w:val="00287FA4"/>
    <w:rsid w:val="002974E8"/>
    <w:rsid w:val="002A48FC"/>
    <w:rsid w:val="002B61FE"/>
    <w:rsid w:val="002D1F89"/>
    <w:rsid w:val="002D46ED"/>
    <w:rsid w:val="002E0CD3"/>
    <w:rsid w:val="002E5537"/>
    <w:rsid w:val="002E6578"/>
    <w:rsid w:val="002F674A"/>
    <w:rsid w:val="00303317"/>
    <w:rsid w:val="00303D56"/>
    <w:rsid w:val="00325F1A"/>
    <w:rsid w:val="0033439E"/>
    <w:rsid w:val="00336011"/>
    <w:rsid w:val="00345CDB"/>
    <w:rsid w:val="00350670"/>
    <w:rsid w:val="003509C2"/>
    <w:rsid w:val="00355947"/>
    <w:rsid w:val="003865E0"/>
    <w:rsid w:val="00390E97"/>
    <w:rsid w:val="003A0DCA"/>
    <w:rsid w:val="003A68D0"/>
    <w:rsid w:val="003B1FAD"/>
    <w:rsid w:val="003B43F5"/>
    <w:rsid w:val="003C1F30"/>
    <w:rsid w:val="003C58E8"/>
    <w:rsid w:val="003C5BBF"/>
    <w:rsid w:val="003D3E64"/>
    <w:rsid w:val="003D5B31"/>
    <w:rsid w:val="003E1655"/>
    <w:rsid w:val="0040351A"/>
    <w:rsid w:val="00416996"/>
    <w:rsid w:val="00426957"/>
    <w:rsid w:val="00427A0C"/>
    <w:rsid w:val="004449B8"/>
    <w:rsid w:val="00446A2F"/>
    <w:rsid w:val="00450E9C"/>
    <w:rsid w:val="00455CD1"/>
    <w:rsid w:val="0045722C"/>
    <w:rsid w:val="00461816"/>
    <w:rsid w:val="0046376D"/>
    <w:rsid w:val="00465F63"/>
    <w:rsid w:val="00467CF9"/>
    <w:rsid w:val="0047611A"/>
    <w:rsid w:val="00481A72"/>
    <w:rsid w:val="004926B7"/>
    <w:rsid w:val="004A20F1"/>
    <w:rsid w:val="004A71EA"/>
    <w:rsid w:val="004B0F38"/>
    <w:rsid w:val="004C68B6"/>
    <w:rsid w:val="00505372"/>
    <w:rsid w:val="00506273"/>
    <w:rsid w:val="005071F5"/>
    <w:rsid w:val="00524617"/>
    <w:rsid w:val="00532D71"/>
    <w:rsid w:val="005353E8"/>
    <w:rsid w:val="00537969"/>
    <w:rsid w:val="0055496F"/>
    <w:rsid w:val="00557D1E"/>
    <w:rsid w:val="005767B5"/>
    <w:rsid w:val="00594976"/>
    <w:rsid w:val="005B4F1E"/>
    <w:rsid w:val="005B5294"/>
    <w:rsid w:val="005C4EC0"/>
    <w:rsid w:val="005C587B"/>
    <w:rsid w:val="005C67B5"/>
    <w:rsid w:val="005C707C"/>
    <w:rsid w:val="005F1AE6"/>
    <w:rsid w:val="005F7F36"/>
    <w:rsid w:val="00602555"/>
    <w:rsid w:val="0060334E"/>
    <w:rsid w:val="006041D1"/>
    <w:rsid w:val="00604B44"/>
    <w:rsid w:val="00607696"/>
    <w:rsid w:val="00613D1F"/>
    <w:rsid w:val="00616536"/>
    <w:rsid w:val="006172CF"/>
    <w:rsid w:val="0062176A"/>
    <w:rsid w:val="006458E3"/>
    <w:rsid w:val="00647C6C"/>
    <w:rsid w:val="00656220"/>
    <w:rsid w:val="00665C3E"/>
    <w:rsid w:val="006764B3"/>
    <w:rsid w:val="00684F3B"/>
    <w:rsid w:val="00685122"/>
    <w:rsid w:val="00691658"/>
    <w:rsid w:val="00693155"/>
    <w:rsid w:val="006A400F"/>
    <w:rsid w:val="006B0583"/>
    <w:rsid w:val="006C0E51"/>
    <w:rsid w:val="006C193A"/>
    <w:rsid w:val="006C5AEA"/>
    <w:rsid w:val="006E10F2"/>
    <w:rsid w:val="006F0D1B"/>
    <w:rsid w:val="006F4581"/>
    <w:rsid w:val="0070534F"/>
    <w:rsid w:val="00722314"/>
    <w:rsid w:val="007310A3"/>
    <w:rsid w:val="00741FC2"/>
    <w:rsid w:val="007447F8"/>
    <w:rsid w:val="007477E2"/>
    <w:rsid w:val="007527D2"/>
    <w:rsid w:val="00752B4D"/>
    <w:rsid w:val="00755FFB"/>
    <w:rsid w:val="007567BF"/>
    <w:rsid w:val="00757D92"/>
    <w:rsid w:val="00763257"/>
    <w:rsid w:val="00791D9E"/>
    <w:rsid w:val="007A336E"/>
    <w:rsid w:val="007A5EAF"/>
    <w:rsid w:val="007B2305"/>
    <w:rsid w:val="007C462A"/>
    <w:rsid w:val="007E3B3C"/>
    <w:rsid w:val="007F1020"/>
    <w:rsid w:val="008044CA"/>
    <w:rsid w:val="008271A8"/>
    <w:rsid w:val="008276DF"/>
    <w:rsid w:val="00840EB6"/>
    <w:rsid w:val="008419DE"/>
    <w:rsid w:val="00861985"/>
    <w:rsid w:val="0086259F"/>
    <w:rsid w:val="00862DAA"/>
    <w:rsid w:val="008642B1"/>
    <w:rsid w:val="00866C7B"/>
    <w:rsid w:val="0087336E"/>
    <w:rsid w:val="00875FE1"/>
    <w:rsid w:val="00877C6D"/>
    <w:rsid w:val="00880732"/>
    <w:rsid w:val="00880E72"/>
    <w:rsid w:val="00895962"/>
    <w:rsid w:val="0089660C"/>
    <w:rsid w:val="008A2501"/>
    <w:rsid w:val="008A4386"/>
    <w:rsid w:val="008A43B6"/>
    <w:rsid w:val="008C206D"/>
    <w:rsid w:val="008C345C"/>
    <w:rsid w:val="008D1305"/>
    <w:rsid w:val="008D1F33"/>
    <w:rsid w:val="008F7B85"/>
    <w:rsid w:val="00915524"/>
    <w:rsid w:val="0091587E"/>
    <w:rsid w:val="00915C88"/>
    <w:rsid w:val="009207BB"/>
    <w:rsid w:val="009214A7"/>
    <w:rsid w:val="00925FE1"/>
    <w:rsid w:val="00947D15"/>
    <w:rsid w:val="00955769"/>
    <w:rsid w:val="00955BB7"/>
    <w:rsid w:val="00972A79"/>
    <w:rsid w:val="00973596"/>
    <w:rsid w:val="009740E0"/>
    <w:rsid w:val="00981BEF"/>
    <w:rsid w:val="00982A98"/>
    <w:rsid w:val="0099248E"/>
    <w:rsid w:val="009A3104"/>
    <w:rsid w:val="009B4599"/>
    <w:rsid w:val="009C27BE"/>
    <w:rsid w:val="009D081E"/>
    <w:rsid w:val="009F69F7"/>
    <w:rsid w:val="00A14AB0"/>
    <w:rsid w:val="00A31850"/>
    <w:rsid w:val="00A538EA"/>
    <w:rsid w:val="00A82A90"/>
    <w:rsid w:val="00AA6991"/>
    <w:rsid w:val="00AB6B75"/>
    <w:rsid w:val="00AC1789"/>
    <w:rsid w:val="00AD7497"/>
    <w:rsid w:val="00AF1F49"/>
    <w:rsid w:val="00AF744C"/>
    <w:rsid w:val="00B020B6"/>
    <w:rsid w:val="00B06DB3"/>
    <w:rsid w:val="00B16C37"/>
    <w:rsid w:val="00B16C87"/>
    <w:rsid w:val="00B216C3"/>
    <w:rsid w:val="00B41FC4"/>
    <w:rsid w:val="00B42012"/>
    <w:rsid w:val="00B5718F"/>
    <w:rsid w:val="00B63F6C"/>
    <w:rsid w:val="00B64DF2"/>
    <w:rsid w:val="00B768E7"/>
    <w:rsid w:val="00B7795D"/>
    <w:rsid w:val="00B8295E"/>
    <w:rsid w:val="00B8540D"/>
    <w:rsid w:val="00B85FFB"/>
    <w:rsid w:val="00B86B8D"/>
    <w:rsid w:val="00BA0F2B"/>
    <w:rsid w:val="00BB00A2"/>
    <w:rsid w:val="00BB145D"/>
    <w:rsid w:val="00BB5280"/>
    <w:rsid w:val="00BB71BE"/>
    <w:rsid w:val="00BC13A2"/>
    <w:rsid w:val="00BC5B06"/>
    <w:rsid w:val="00BD640A"/>
    <w:rsid w:val="00BF6D4B"/>
    <w:rsid w:val="00C1677F"/>
    <w:rsid w:val="00C1778B"/>
    <w:rsid w:val="00C27ECC"/>
    <w:rsid w:val="00C30526"/>
    <w:rsid w:val="00C34420"/>
    <w:rsid w:val="00C4509F"/>
    <w:rsid w:val="00C72C12"/>
    <w:rsid w:val="00C821D7"/>
    <w:rsid w:val="00CA7FD4"/>
    <w:rsid w:val="00CB257D"/>
    <w:rsid w:val="00CB37E2"/>
    <w:rsid w:val="00CC6326"/>
    <w:rsid w:val="00CC717A"/>
    <w:rsid w:val="00CD333B"/>
    <w:rsid w:val="00CD378B"/>
    <w:rsid w:val="00CD3CD6"/>
    <w:rsid w:val="00CF3A84"/>
    <w:rsid w:val="00CF6200"/>
    <w:rsid w:val="00D14F64"/>
    <w:rsid w:val="00D258BD"/>
    <w:rsid w:val="00D431B7"/>
    <w:rsid w:val="00D435DE"/>
    <w:rsid w:val="00D54E93"/>
    <w:rsid w:val="00D61318"/>
    <w:rsid w:val="00D72D4A"/>
    <w:rsid w:val="00D74CDF"/>
    <w:rsid w:val="00D75D0B"/>
    <w:rsid w:val="00D831A9"/>
    <w:rsid w:val="00D83235"/>
    <w:rsid w:val="00D837F2"/>
    <w:rsid w:val="00D90DAB"/>
    <w:rsid w:val="00D90F2D"/>
    <w:rsid w:val="00DA07C2"/>
    <w:rsid w:val="00DB0D6D"/>
    <w:rsid w:val="00DB7B27"/>
    <w:rsid w:val="00DC4BE2"/>
    <w:rsid w:val="00DC500F"/>
    <w:rsid w:val="00DC5B9E"/>
    <w:rsid w:val="00DC5EF5"/>
    <w:rsid w:val="00DD3A1E"/>
    <w:rsid w:val="00DD633F"/>
    <w:rsid w:val="00DD7506"/>
    <w:rsid w:val="00DE3650"/>
    <w:rsid w:val="00DE386E"/>
    <w:rsid w:val="00E037A5"/>
    <w:rsid w:val="00E37A29"/>
    <w:rsid w:val="00E41772"/>
    <w:rsid w:val="00E65D98"/>
    <w:rsid w:val="00E73E9D"/>
    <w:rsid w:val="00E7563B"/>
    <w:rsid w:val="00E86108"/>
    <w:rsid w:val="00EA4F71"/>
    <w:rsid w:val="00EA70C8"/>
    <w:rsid w:val="00EB67FF"/>
    <w:rsid w:val="00EB6DDC"/>
    <w:rsid w:val="00EC70C8"/>
    <w:rsid w:val="00ED3148"/>
    <w:rsid w:val="00EE32AB"/>
    <w:rsid w:val="00EE3C42"/>
    <w:rsid w:val="00F02DBA"/>
    <w:rsid w:val="00F111BA"/>
    <w:rsid w:val="00F1280D"/>
    <w:rsid w:val="00F175B4"/>
    <w:rsid w:val="00F27790"/>
    <w:rsid w:val="00F3314B"/>
    <w:rsid w:val="00F41BE1"/>
    <w:rsid w:val="00F628C6"/>
    <w:rsid w:val="00F770F7"/>
    <w:rsid w:val="00F80317"/>
    <w:rsid w:val="00F836E8"/>
    <w:rsid w:val="00F874DD"/>
    <w:rsid w:val="00FA57B3"/>
    <w:rsid w:val="00FC40B9"/>
    <w:rsid w:val="00FC78D3"/>
    <w:rsid w:val="00FD4A1F"/>
    <w:rsid w:val="00FD6BEF"/>
    <w:rsid w:val="00FF39C6"/>
    <w:rsid w:val="00FF5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4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4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4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21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1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21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21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214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214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214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21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21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921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921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214A7"/>
    <w:rPr>
      <w:b/>
      <w:bCs/>
    </w:rPr>
  </w:style>
  <w:style w:type="character" w:styleId="a9">
    <w:name w:val="Emphasis"/>
    <w:basedOn w:val="a0"/>
    <w:uiPriority w:val="20"/>
    <w:qFormat/>
    <w:rsid w:val="009214A7"/>
    <w:rPr>
      <w:i/>
      <w:iCs/>
    </w:rPr>
  </w:style>
  <w:style w:type="paragraph" w:styleId="aa">
    <w:name w:val="No Spacing"/>
    <w:uiPriority w:val="1"/>
    <w:qFormat/>
    <w:rsid w:val="009214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214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14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14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214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214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214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214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214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214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214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214A7"/>
    <w:pPr>
      <w:outlineLvl w:val="9"/>
    </w:pPr>
  </w:style>
  <w:style w:type="paragraph" w:customStyle="1" w:styleId="ConsPlusNormal">
    <w:name w:val="ConsPlusNormal"/>
    <w:rsid w:val="007E3B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B7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7795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271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19050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table" w:styleId="af6">
    <w:name w:val="Table Grid"/>
    <w:basedOn w:val="a1"/>
    <w:uiPriority w:val="59"/>
    <w:rsid w:val="001905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4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4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4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21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1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21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21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214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214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214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21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21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921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921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214A7"/>
    <w:rPr>
      <w:b/>
      <w:bCs/>
    </w:rPr>
  </w:style>
  <w:style w:type="character" w:styleId="a9">
    <w:name w:val="Emphasis"/>
    <w:basedOn w:val="a0"/>
    <w:uiPriority w:val="20"/>
    <w:qFormat/>
    <w:rsid w:val="009214A7"/>
    <w:rPr>
      <w:i/>
      <w:iCs/>
    </w:rPr>
  </w:style>
  <w:style w:type="paragraph" w:styleId="aa">
    <w:name w:val="No Spacing"/>
    <w:uiPriority w:val="1"/>
    <w:qFormat/>
    <w:rsid w:val="009214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214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14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14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214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214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214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214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214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214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214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214A7"/>
    <w:pPr>
      <w:outlineLvl w:val="9"/>
    </w:pPr>
  </w:style>
  <w:style w:type="paragraph" w:customStyle="1" w:styleId="ConsPlusNormal">
    <w:name w:val="ConsPlusNormal"/>
    <w:rsid w:val="007E3B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B7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7795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271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19050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table" w:styleId="af6">
    <w:name w:val="Table Grid"/>
    <w:basedOn w:val="a1"/>
    <w:uiPriority w:val="59"/>
    <w:rsid w:val="001905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162CA5A51DEEB8CCEA2F6E3E43DB4421BE83F218F1F7B337F8615D4BCD2419499518DBE8BA3F23A01694297449CC11DEFA1B115T20E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22162CA5A51DEEB8CCEA2F6E3E43DB4421BE33C2B8B1F7B337F8615D4BCD2419499518FB983A9AD3F14781A984084DF18F4BDB3172FT305K" TargetMode="External"/><Relationship Id="rId12" Type="http://schemas.openxmlformats.org/officeDocument/2006/relationships/hyperlink" Target="consultantplus://offline/ref=C45D08401706D9F5029C6126E2D9251CFAFDBE073F9C85A0592B46FDD9178F3BA0835B3B32A2C965685EB401389477C4803EW9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2162CA5A51DEEB8CCEA2F6E3E43DB4421BE33C2B8B1F7B337F8615D4BCD24194995182B889FCF72F10314D935C82C406F3A3B3T104K" TargetMode="External"/><Relationship Id="rId11" Type="http://schemas.openxmlformats.org/officeDocument/2006/relationships/hyperlink" Target="https://login.consultant.ru/link/?req=doc&amp;base=LAW&amp;n=472832&amp;dst=9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22162CA5A51DEEB8CCEBCFBF58862BB4513BF332A821C2C6D2A80428BECD414D4D957DFF8C6A5A76B463E4F9649D6905CA4AEB3113336F28425AE91T10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5D08401706D9F5029C6126E2D9251CFAFDBE073F9C85A0592B46FDD9178F3BA0835B3B32A2C965685EB401389477C4803EW9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bobrova</cp:lastModifiedBy>
  <cp:revision>108</cp:revision>
  <cp:lastPrinted>2023-05-30T02:39:00Z</cp:lastPrinted>
  <dcterms:created xsi:type="dcterms:W3CDTF">2021-03-03T12:57:00Z</dcterms:created>
  <dcterms:modified xsi:type="dcterms:W3CDTF">2024-05-08T04:31:00Z</dcterms:modified>
</cp:coreProperties>
</file>