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74104B" w:rsidRDefault="002C790B" w:rsidP="0074104B">
      <w:pPr>
        <w:jc w:val="center"/>
        <w:rPr>
          <w:b/>
          <w:caps/>
          <w:sz w:val="28"/>
          <w:szCs w:val="28"/>
        </w:rPr>
      </w:pPr>
      <w:bookmarkStart w:id="0" w:name="_Toc293146740"/>
      <w:bookmarkStart w:id="1" w:name="_Toc417655656"/>
      <w:r w:rsidRPr="0074104B">
        <w:rPr>
          <w:b/>
          <w:caps/>
          <w:noProof/>
          <w:sz w:val="28"/>
          <w:szCs w:val="28"/>
        </w:rPr>
        <w:drawing>
          <wp:inline distT="0" distB="0" distL="0" distR="0" wp14:anchorId="45F95921" wp14:editId="09DD1EF5">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u w:val="single"/>
        </w:rPr>
      </w:pPr>
      <w:r w:rsidRPr="0074104B">
        <w:rPr>
          <w:b/>
          <w:caps/>
          <w:sz w:val="28"/>
          <w:szCs w:val="28"/>
          <w:u w:val="single"/>
        </w:rPr>
        <w:t>ТАЙМЫРСКИЙ ДОЛГАНО-НЕНЕЦКИЙ МУНИЦИПАЛЬНЫЙ РАЙОН</w:t>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rPr>
      </w:pPr>
      <w:r w:rsidRPr="0074104B">
        <w:rPr>
          <w:b/>
          <w:caps/>
          <w:sz w:val="28"/>
          <w:szCs w:val="28"/>
        </w:rPr>
        <w:t>Таймырский Долгано-Ненецкий районный Совет депутатов</w:t>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rPr>
      </w:pPr>
      <w:proofErr w:type="gramStart"/>
      <w:r w:rsidRPr="0074104B">
        <w:rPr>
          <w:b/>
          <w:caps/>
          <w:sz w:val="28"/>
          <w:szCs w:val="28"/>
        </w:rPr>
        <w:t>Р</w:t>
      </w:r>
      <w:proofErr w:type="gramEnd"/>
      <w:r w:rsidRPr="0074104B">
        <w:rPr>
          <w:b/>
          <w:caps/>
          <w:sz w:val="28"/>
          <w:szCs w:val="28"/>
        </w:rPr>
        <w:t xml:space="preserve"> Е Ш Е Н И Е</w:t>
      </w:r>
    </w:p>
    <w:p w:rsidR="002C790B" w:rsidRPr="0074104B" w:rsidRDefault="002C790B" w:rsidP="0074104B">
      <w:pPr>
        <w:jc w:val="center"/>
        <w:rPr>
          <w:b/>
          <w:caps/>
          <w:sz w:val="28"/>
          <w:szCs w:val="28"/>
        </w:rPr>
      </w:pPr>
    </w:p>
    <w:p w:rsidR="002C790B" w:rsidRPr="0074104B" w:rsidRDefault="00ED2AF4" w:rsidP="0074104B">
      <w:pPr>
        <w:jc w:val="center"/>
        <w:rPr>
          <w:b/>
          <w:sz w:val="28"/>
          <w:szCs w:val="28"/>
        </w:rPr>
      </w:pPr>
      <w:r>
        <w:rPr>
          <w:b/>
          <w:sz w:val="28"/>
          <w:szCs w:val="28"/>
        </w:rPr>
        <w:t>27</w:t>
      </w:r>
      <w:r w:rsidR="00254397" w:rsidRPr="0074104B">
        <w:rPr>
          <w:b/>
          <w:sz w:val="28"/>
          <w:szCs w:val="28"/>
        </w:rPr>
        <w:t>.11</w:t>
      </w:r>
      <w:r w:rsidR="002C790B" w:rsidRPr="0074104B">
        <w:rPr>
          <w:b/>
          <w:sz w:val="28"/>
          <w:szCs w:val="28"/>
        </w:rPr>
        <w:t>.2024                                                                                                            № 03 – 0</w:t>
      </w:r>
      <w:r w:rsidR="00737F9C" w:rsidRPr="0074104B">
        <w:rPr>
          <w:b/>
          <w:sz w:val="28"/>
          <w:szCs w:val="28"/>
        </w:rPr>
        <w:t>6</w:t>
      </w:r>
      <w:r w:rsidR="004E4A74">
        <w:rPr>
          <w:b/>
          <w:sz w:val="28"/>
          <w:szCs w:val="28"/>
        </w:rPr>
        <w:t>8</w:t>
      </w:r>
    </w:p>
    <w:p w:rsidR="002C790B" w:rsidRPr="0074104B" w:rsidRDefault="002C790B" w:rsidP="0074104B">
      <w:pPr>
        <w:jc w:val="center"/>
        <w:rPr>
          <w:b/>
          <w:sz w:val="28"/>
          <w:szCs w:val="28"/>
        </w:rPr>
      </w:pPr>
      <w:r w:rsidRPr="0074104B">
        <w:rPr>
          <w:b/>
          <w:sz w:val="28"/>
          <w:szCs w:val="28"/>
        </w:rPr>
        <w:t>г. Дудинка</w:t>
      </w:r>
    </w:p>
    <w:p w:rsidR="002C790B" w:rsidRPr="0074104B" w:rsidRDefault="002C790B" w:rsidP="0074104B">
      <w:pPr>
        <w:autoSpaceDE w:val="0"/>
        <w:autoSpaceDN w:val="0"/>
        <w:adjustRightInd w:val="0"/>
        <w:jc w:val="center"/>
        <w:rPr>
          <w:b/>
          <w:bCs/>
          <w:sz w:val="28"/>
          <w:szCs w:val="28"/>
        </w:rPr>
      </w:pPr>
    </w:p>
    <w:bookmarkEnd w:id="0"/>
    <w:bookmarkEnd w:id="1"/>
    <w:p w:rsidR="004E4A74" w:rsidRDefault="004E4A74" w:rsidP="004E4A74">
      <w:pPr>
        <w:jc w:val="center"/>
        <w:rPr>
          <w:b/>
          <w:bCs/>
          <w:sz w:val="28"/>
          <w:szCs w:val="28"/>
        </w:rPr>
      </w:pPr>
      <w:r>
        <w:rPr>
          <w:b/>
          <w:bCs/>
          <w:sz w:val="28"/>
          <w:szCs w:val="28"/>
        </w:rPr>
        <w:t xml:space="preserve">О дополнительных мерах социальной поддержки и социальной </w:t>
      </w:r>
    </w:p>
    <w:p w:rsidR="004E4A74" w:rsidRDefault="004E4A74" w:rsidP="004E4A74">
      <w:pPr>
        <w:jc w:val="center"/>
        <w:rPr>
          <w:b/>
          <w:bCs/>
          <w:sz w:val="28"/>
          <w:szCs w:val="28"/>
        </w:rPr>
      </w:pPr>
      <w:r>
        <w:rPr>
          <w:b/>
          <w:bCs/>
          <w:sz w:val="28"/>
          <w:szCs w:val="28"/>
        </w:rPr>
        <w:t>помощи для отдельных категорий граждан</w:t>
      </w:r>
    </w:p>
    <w:p w:rsidR="004E4A74" w:rsidRDefault="004E4A74" w:rsidP="004E4A74">
      <w:pPr>
        <w:jc w:val="both"/>
        <w:rPr>
          <w:sz w:val="28"/>
          <w:szCs w:val="28"/>
        </w:rPr>
      </w:pPr>
    </w:p>
    <w:p w:rsidR="004E4A74" w:rsidRDefault="004E4A74" w:rsidP="004E4A74">
      <w:pPr>
        <w:jc w:val="both"/>
        <w:rPr>
          <w:sz w:val="28"/>
          <w:szCs w:val="28"/>
        </w:rPr>
      </w:pPr>
    </w:p>
    <w:p w:rsidR="004E4A74" w:rsidRDefault="004E4A74" w:rsidP="004E4A74">
      <w:pPr>
        <w:ind w:firstLine="709"/>
        <w:jc w:val="both"/>
        <w:rPr>
          <w:b/>
          <w:sz w:val="28"/>
          <w:szCs w:val="28"/>
        </w:rPr>
      </w:pPr>
      <w:proofErr w:type="gramStart"/>
      <w:r>
        <w:rPr>
          <w:sz w:val="28"/>
          <w:szCs w:val="28"/>
        </w:rPr>
        <w:t>Руководствуясь</w:t>
      </w:r>
      <w:proofErr w:type="gramEnd"/>
      <w:r>
        <w:rPr>
          <w:sz w:val="28"/>
          <w:szCs w:val="28"/>
        </w:rPr>
        <w:t xml:space="preserve"> </w:t>
      </w:r>
      <w:hyperlink r:id="rId14" w:tooltip="consultantplus://offline/ref=E1A6D38F5A8E73318E9E83217598B78F863877A36B7C586E76ECAA217965B6D8FA117B4036BBE4DBB7F8BD59N2v5D" w:history="1">
        <w:r>
          <w:rPr>
            <w:sz w:val="28"/>
            <w:szCs w:val="28"/>
          </w:rPr>
          <w:t>стать</w:t>
        </w:r>
      </w:hyperlink>
      <w:r>
        <w:rPr>
          <w:sz w:val="28"/>
          <w:szCs w:val="28"/>
        </w:rPr>
        <w:t>ей 20 Федерального закона от 6 октября 2003 года №</w:t>
      </w:r>
      <w:r>
        <w:rPr>
          <w:sz w:val="28"/>
          <w:szCs w:val="28"/>
        </w:rPr>
        <w:t xml:space="preserve"> </w:t>
      </w:r>
      <w:r>
        <w:rPr>
          <w:sz w:val="28"/>
          <w:szCs w:val="28"/>
        </w:rPr>
        <w:t>131-ФЗ «</w:t>
      </w:r>
      <w:r>
        <w:rPr>
          <w:bCs/>
          <w:sz w:val="28"/>
          <w:szCs w:val="28"/>
        </w:rPr>
        <w:t>Об общих принципах организации местного самоуправления в Российской Федерации</w:t>
      </w:r>
      <w:r>
        <w:rPr>
          <w:bCs/>
          <w:sz w:val="28"/>
          <w:szCs w:val="28"/>
        </w:rPr>
        <w:t>»</w:t>
      </w:r>
      <w:r>
        <w:rPr>
          <w:bCs/>
          <w:sz w:val="28"/>
          <w:szCs w:val="28"/>
        </w:rPr>
        <w:t xml:space="preserve">, в соответствии с </w:t>
      </w:r>
      <w:r>
        <w:rPr>
          <w:sz w:val="28"/>
          <w:szCs w:val="28"/>
        </w:rPr>
        <w:t xml:space="preserve">Уставом Таймырского Долгано-Ненецкого муниципального района, Таймырский Долгано-Ненецкий районный Совет депутатов </w:t>
      </w:r>
      <w:r>
        <w:rPr>
          <w:b/>
          <w:sz w:val="28"/>
          <w:szCs w:val="28"/>
        </w:rPr>
        <w:t>решил:</w:t>
      </w:r>
    </w:p>
    <w:p w:rsidR="004E4A74" w:rsidRDefault="004E4A74" w:rsidP="004E4A74">
      <w:pPr>
        <w:ind w:firstLine="709"/>
        <w:jc w:val="both"/>
        <w:rPr>
          <w:sz w:val="28"/>
          <w:szCs w:val="28"/>
        </w:rPr>
      </w:pPr>
    </w:p>
    <w:p w:rsidR="004E4A74" w:rsidRDefault="004E4A74" w:rsidP="004E4A74">
      <w:pPr>
        <w:spacing w:before="240"/>
        <w:ind w:firstLine="709"/>
        <w:contextualSpacing/>
        <w:jc w:val="both"/>
        <w:rPr>
          <w:sz w:val="28"/>
          <w:szCs w:val="28"/>
        </w:rPr>
      </w:pPr>
      <w:bookmarkStart w:id="2" w:name="Par12"/>
      <w:bookmarkEnd w:id="2"/>
      <w:r>
        <w:rPr>
          <w:sz w:val="28"/>
          <w:szCs w:val="28"/>
        </w:rPr>
        <w:t xml:space="preserve">1. </w:t>
      </w:r>
      <w:proofErr w:type="gramStart"/>
      <w:r>
        <w:rPr>
          <w:sz w:val="28"/>
          <w:szCs w:val="28"/>
        </w:rPr>
        <w:t>Реализовать право органов местного самоуправления Таймырского Долгано-Ненецкого муниципального района на участие за счет средств бюджета муниципального района в осуществлении государственных полномочий, не переданных им в соответствии со статьей 19 Федерального закона от 6 октября 2003 года № 131-ФЗ «</w:t>
      </w:r>
      <w:r>
        <w:rPr>
          <w:bCs/>
          <w:sz w:val="28"/>
          <w:szCs w:val="28"/>
        </w:rPr>
        <w:t>Об общих принципах организации местного самоуправления в Российской Федерации</w:t>
      </w:r>
      <w:r>
        <w:rPr>
          <w:sz w:val="28"/>
          <w:szCs w:val="28"/>
        </w:rPr>
        <w:t>», а также на решение иных вопросов, не отнесенных к компетенции органов местного самоуправления других</w:t>
      </w:r>
      <w:proofErr w:type="gramEnd"/>
      <w:r>
        <w:rPr>
          <w:sz w:val="28"/>
          <w:szCs w:val="28"/>
        </w:rPr>
        <w:t xml:space="preserve"> </w:t>
      </w:r>
      <w:proofErr w:type="gramStart"/>
      <w:r>
        <w:rPr>
          <w:sz w:val="28"/>
          <w:szCs w:val="28"/>
        </w:rPr>
        <w:t>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путем установления в 2025 году и плановом периоде 2026 – 2027 годов дополнительных мер социальной поддержки и социальной помощи для отдельных категорий граждан в виде предоставления компенсационных выплат, носящих характер социальных выплат, работникам учреждений, финансируемых за счет средств федерального бюджета и расположенных на</w:t>
      </w:r>
      <w:proofErr w:type="gramEnd"/>
      <w:r>
        <w:rPr>
          <w:sz w:val="28"/>
          <w:szCs w:val="28"/>
        </w:rPr>
        <w:t xml:space="preserve"> территории Таймырского Долгано</w:t>
      </w:r>
      <w:r>
        <w:rPr>
          <w:sz w:val="28"/>
          <w:szCs w:val="28"/>
        </w:rPr>
        <w:t>-</w:t>
      </w:r>
      <w:r>
        <w:rPr>
          <w:sz w:val="28"/>
          <w:szCs w:val="28"/>
        </w:rPr>
        <w:t>Ненецкого муниципального района по перечню, согласно приложению к настоящему Решению.</w:t>
      </w:r>
    </w:p>
    <w:p w:rsidR="004E4A74" w:rsidRDefault="004E4A74" w:rsidP="004E4A74">
      <w:pPr>
        <w:spacing w:before="240"/>
        <w:ind w:firstLine="709"/>
        <w:contextualSpacing/>
        <w:jc w:val="both"/>
        <w:rPr>
          <w:sz w:val="28"/>
          <w:szCs w:val="28"/>
        </w:rPr>
      </w:pPr>
    </w:p>
    <w:p w:rsidR="004E4A74" w:rsidRDefault="004E4A74" w:rsidP="004E4A74">
      <w:pPr>
        <w:spacing w:before="240"/>
        <w:ind w:firstLine="709"/>
        <w:contextualSpacing/>
        <w:jc w:val="both"/>
        <w:rPr>
          <w:sz w:val="28"/>
          <w:szCs w:val="28"/>
        </w:rPr>
      </w:pPr>
      <w:r>
        <w:rPr>
          <w:sz w:val="28"/>
          <w:szCs w:val="28"/>
        </w:rPr>
        <w:t>2. Порядок предоставления и перечисления компенсационных выплат, их размер устанавливаются нормативными правовыми актами Администрации Таймырского Долгано</w:t>
      </w:r>
      <w:r>
        <w:rPr>
          <w:sz w:val="28"/>
          <w:szCs w:val="28"/>
        </w:rPr>
        <w:t>-</w:t>
      </w:r>
      <w:r>
        <w:rPr>
          <w:sz w:val="28"/>
          <w:szCs w:val="28"/>
        </w:rPr>
        <w:t>Ненецкого муниципального района.</w:t>
      </w:r>
    </w:p>
    <w:p w:rsidR="00ED2AF4" w:rsidRPr="00ED2AF4" w:rsidRDefault="00ED2AF4" w:rsidP="00ED2AF4">
      <w:pPr>
        <w:autoSpaceDE w:val="0"/>
        <w:autoSpaceDN w:val="0"/>
        <w:adjustRightInd w:val="0"/>
        <w:ind w:firstLine="709"/>
        <w:jc w:val="both"/>
        <w:rPr>
          <w:bCs/>
          <w:sz w:val="28"/>
          <w:szCs w:val="28"/>
        </w:rPr>
      </w:pPr>
    </w:p>
    <w:p w:rsidR="0074104B" w:rsidRPr="00ED2AF4" w:rsidRDefault="004E4A74" w:rsidP="00ED2AF4">
      <w:pPr>
        <w:autoSpaceDE w:val="0"/>
        <w:autoSpaceDN w:val="0"/>
        <w:adjustRightInd w:val="0"/>
        <w:ind w:firstLine="709"/>
        <w:jc w:val="both"/>
        <w:rPr>
          <w:bCs/>
          <w:sz w:val="28"/>
          <w:szCs w:val="28"/>
        </w:rPr>
      </w:pPr>
      <w:r>
        <w:rPr>
          <w:bCs/>
          <w:sz w:val="28"/>
          <w:szCs w:val="28"/>
        </w:rPr>
        <w:lastRenderedPageBreak/>
        <w:t>3</w:t>
      </w:r>
      <w:r w:rsidR="0074104B" w:rsidRPr="00ED2AF4">
        <w:rPr>
          <w:bCs/>
          <w:sz w:val="28"/>
          <w:szCs w:val="28"/>
        </w:rPr>
        <w:t>. Настоящее Решение вступает в силу после дня его официального обнародования</w:t>
      </w:r>
      <w:r w:rsidR="00ED2AF4" w:rsidRPr="00ED2AF4">
        <w:rPr>
          <w:bCs/>
          <w:sz w:val="28"/>
          <w:szCs w:val="28"/>
        </w:rPr>
        <w:t>.</w:t>
      </w:r>
    </w:p>
    <w:p w:rsidR="0074104B" w:rsidRPr="00ED2AF4" w:rsidRDefault="0074104B" w:rsidP="00ED2AF4">
      <w:pPr>
        <w:autoSpaceDE w:val="0"/>
        <w:autoSpaceDN w:val="0"/>
        <w:adjustRightInd w:val="0"/>
        <w:ind w:firstLine="709"/>
        <w:outlineLvl w:val="0"/>
        <w:rPr>
          <w:sz w:val="28"/>
          <w:szCs w:val="28"/>
        </w:rPr>
      </w:pPr>
    </w:p>
    <w:p w:rsidR="0074104B" w:rsidRPr="00ED2AF4" w:rsidRDefault="0074104B" w:rsidP="00ED2AF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ED2AF4" w:rsidTr="00ED2AF4">
        <w:tc>
          <w:tcPr>
            <w:tcW w:w="4928" w:type="dxa"/>
            <w:shd w:val="clear" w:color="auto" w:fill="auto"/>
          </w:tcPr>
          <w:p w:rsidR="0074104B" w:rsidRPr="00ED2AF4" w:rsidRDefault="0074104B" w:rsidP="00ED2AF4">
            <w:pPr>
              <w:pStyle w:val="ConsPlusNormal"/>
              <w:ind w:firstLine="0"/>
              <w:jc w:val="both"/>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Председатель </w:t>
            </w:r>
            <w:proofErr w:type="gramStart"/>
            <w:r w:rsidRPr="00ED2AF4">
              <w:rPr>
                <w:rFonts w:ascii="Times New Roman" w:eastAsia="Calibri" w:hAnsi="Times New Roman" w:cs="Times New Roman"/>
                <w:b/>
                <w:sz w:val="28"/>
                <w:szCs w:val="28"/>
              </w:rPr>
              <w:t>Таймырского</w:t>
            </w:r>
            <w:proofErr w:type="gramEnd"/>
            <w:r w:rsidRPr="00ED2AF4">
              <w:rPr>
                <w:rFonts w:ascii="Times New Roman" w:eastAsia="Calibri" w:hAnsi="Times New Roman" w:cs="Times New Roman"/>
                <w:b/>
                <w:sz w:val="28"/>
                <w:szCs w:val="28"/>
              </w:rPr>
              <w:t xml:space="preserve"> </w:t>
            </w:r>
          </w:p>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Долгано-Ненецкого районного Совета депутатов </w:t>
            </w:r>
          </w:p>
          <w:p w:rsidR="0074104B" w:rsidRPr="00ED2AF4" w:rsidRDefault="0074104B" w:rsidP="00ED2AF4">
            <w:pPr>
              <w:pStyle w:val="ConsPlusNormal"/>
              <w:ind w:firstLine="0"/>
              <w:rPr>
                <w:rFonts w:ascii="Times New Roman" w:eastAsia="Calibri" w:hAnsi="Times New Roman" w:cs="Times New Roman"/>
                <w:b/>
                <w:sz w:val="28"/>
                <w:szCs w:val="28"/>
              </w:rPr>
            </w:pPr>
          </w:p>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____________________ В.Н. Шишов</w:t>
            </w:r>
          </w:p>
        </w:tc>
        <w:tc>
          <w:tcPr>
            <w:tcW w:w="709" w:type="dxa"/>
            <w:shd w:val="clear" w:color="auto" w:fill="auto"/>
          </w:tcPr>
          <w:p w:rsidR="0074104B" w:rsidRPr="00ED2AF4" w:rsidRDefault="0074104B" w:rsidP="00ED2AF4">
            <w:pPr>
              <w:pStyle w:val="ConsPlusNormal"/>
              <w:rPr>
                <w:rFonts w:ascii="Times New Roman" w:eastAsia="Calibri" w:hAnsi="Times New Roman" w:cs="Times New Roman"/>
                <w:b/>
                <w:sz w:val="28"/>
                <w:szCs w:val="28"/>
              </w:rPr>
            </w:pPr>
          </w:p>
        </w:tc>
        <w:tc>
          <w:tcPr>
            <w:tcW w:w="4644" w:type="dxa"/>
            <w:shd w:val="clear" w:color="auto" w:fill="auto"/>
          </w:tcPr>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Глава </w:t>
            </w:r>
            <w:proofErr w:type="gramStart"/>
            <w:r w:rsidRPr="00ED2AF4">
              <w:rPr>
                <w:rFonts w:ascii="Times New Roman" w:eastAsia="Calibri" w:hAnsi="Times New Roman" w:cs="Times New Roman"/>
                <w:b/>
                <w:sz w:val="28"/>
                <w:szCs w:val="28"/>
              </w:rPr>
              <w:t>Таймырского</w:t>
            </w:r>
            <w:proofErr w:type="gramEnd"/>
            <w:r w:rsidRPr="00ED2AF4">
              <w:rPr>
                <w:rFonts w:ascii="Times New Roman" w:eastAsia="Calibri" w:hAnsi="Times New Roman" w:cs="Times New Roman"/>
                <w:b/>
                <w:sz w:val="28"/>
                <w:szCs w:val="28"/>
              </w:rPr>
              <w:t xml:space="preserve"> </w:t>
            </w:r>
          </w:p>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Долгано-Ненецкого </w:t>
            </w:r>
          </w:p>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муниципального района </w:t>
            </w:r>
          </w:p>
          <w:p w:rsidR="0074104B" w:rsidRPr="00ED2AF4" w:rsidRDefault="0074104B" w:rsidP="00ED2AF4">
            <w:pPr>
              <w:pStyle w:val="ConsPlusNormal"/>
              <w:ind w:firstLine="0"/>
              <w:rPr>
                <w:rFonts w:ascii="Times New Roman" w:eastAsia="Calibri" w:hAnsi="Times New Roman" w:cs="Times New Roman"/>
                <w:b/>
                <w:sz w:val="28"/>
                <w:szCs w:val="28"/>
              </w:rPr>
            </w:pPr>
          </w:p>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_________________ А.В. Членов </w:t>
            </w:r>
          </w:p>
        </w:tc>
      </w:tr>
    </w:tbl>
    <w:p w:rsidR="0074104B" w:rsidRPr="0074104B" w:rsidRDefault="0074104B" w:rsidP="0074104B">
      <w:pPr>
        <w:rPr>
          <w:sz w:val="28"/>
          <w:szCs w:val="28"/>
        </w:rPr>
      </w:pPr>
      <w:r w:rsidRPr="0074104B">
        <w:rPr>
          <w:sz w:val="28"/>
          <w:szCs w:val="28"/>
        </w:rPr>
        <w:br w:type="page"/>
      </w:r>
    </w:p>
    <w:p w:rsidR="0074104B" w:rsidRPr="0074104B" w:rsidRDefault="0074104B" w:rsidP="0074104B">
      <w:pPr>
        <w:autoSpaceDE w:val="0"/>
        <w:autoSpaceDN w:val="0"/>
        <w:adjustRightInd w:val="0"/>
        <w:ind w:left="4820"/>
        <w:outlineLvl w:val="0"/>
      </w:pPr>
      <w:r w:rsidRPr="0074104B">
        <w:lastRenderedPageBreak/>
        <w:t>Приложение</w:t>
      </w:r>
    </w:p>
    <w:p w:rsidR="0074104B" w:rsidRPr="0074104B" w:rsidRDefault="0074104B" w:rsidP="0074104B">
      <w:pPr>
        <w:autoSpaceDE w:val="0"/>
        <w:autoSpaceDN w:val="0"/>
        <w:adjustRightInd w:val="0"/>
        <w:ind w:left="4820"/>
      </w:pPr>
      <w:r w:rsidRPr="0074104B">
        <w:t xml:space="preserve">к Решению Таймырского Долгано-Ненецкого районного Совета депутатов </w:t>
      </w:r>
    </w:p>
    <w:p w:rsidR="0074104B" w:rsidRPr="0074104B" w:rsidRDefault="0074104B" w:rsidP="0074104B">
      <w:pPr>
        <w:autoSpaceDE w:val="0"/>
        <w:autoSpaceDN w:val="0"/>
        <w:adjustRightInd w:val="0"/>
        <w:ind w:left="4820"/>
      </w:pPr>
      <w:r w:rsidRPr="0074104B">
        <w:t xml:space="preserve">от </w:t>
      </w:r>
      <w:r w:rsidR="00ED2AF4">
        <w:t>27</w:t>
      </w:r>
      <w:r w:rsidRPr="0074104B">
        <w:t>.11.2024 года № 03 – 06</w:t>
      </w:r>
      <w:r w:rsidR="004E4A74">
        <w:t>8</w:t>
      </w:r>
      <w:r w:rsidRPr="0074104B">
        <w:t xml:space="preserve"> </w:t>
      </w:r>
    </w:p>
    <w:p w:rsidR="0074104B" w:rsidRDefault="0074104B" w:rsidP="0074104B">
      <w:pPr>
        <w:autoSpaceDE w:val="0"/>
        <w:autoSpaceDN w:val="0"/>
        <w:adjustRightInd w:val="0"/>
        <w:ind w:left="4820"/>
      </w:pPr>
    </w:p>
    <w:p w:rsidR="0074104B" w:rsidRPr="0074104B" w:rsidRDefault="0074104B" w:rsidP="0074104B">
      <w:pPr>
        <w:autoSpaceDE w:val="0"/>
        <w:autoSpaceDN w:val="0"/>
        <w:adjustRightInd w:val="0"/>
        <w:ind w:left="4820"/>
      </w:pPr>
    </w:p>
    <w:p w:rsidR="004E4A74" w:rsidRPr="004E4A74" w:rsidRDefault="004E4A74" w:rsidP="004E4A74">
      <w:pPr>
        <w:jc w:val="center"/>
        <w:rPr>
          <w:b/>
        </w:rPr>
      </w:pPr>
      <w:r w:rsidRPr="004E4A74">
        <w:rPr>
          <w:b/>
        </w:rPr>
        <w:t>Перечень</w:t>
      </w:r>
    </w:p>
    <w:p w:rsidR="004E4A74" w:rsidRPr="004E4A74" w:rsidRDefault="004E4A74" w:rsidP="004E4A74">
      <w:pPr>
        <w:jc w:val="center"/>
        <w:rPr>
          <w:b/>
        </w:rPr>
      </w:pPr>
      <w:r w:rsidRPr="004E4A74">
        <w:rPr>
          <w:b/>
        </w:rPr>
        <w:t>учреждений, финансируемых за счет средств федерального бюджета и расположенных на территории Таймырского Долгано</w:t>
      </w:r>
      <w:r>
        <w:rPr>
          <w:b/>
        </w:rPr>
        <w:t>-</w:t>
      </w:r>
      <w:r w:rsidRPr="004E4A74">
        <w:rPr>
          <w:b/>
        </w:rPr>
        <w:t>Ненецкого муниципального района, работникам которых предоставляются компенсационные выплаты, носящие характер социальных выплат</w:t>
      </w:r>
    </w:p>
    <w:p w:rsidR="004E4A74" w:rsidRDefault="004E4A74" w:rsidP="004E4A74">
      <w:pPr>
        <w:jc w:val="both"/>
      </w:pPr>
    </w:p>
    <w:p w:rsidR="004E4A74" w:rsidRPr="004E4A74" w:rsidRDefault="004E4A74" w:rsidP="004E4A74">
      <w:pPr>
        <w:jc w:val="both"/>
      </w:pPr>
    </w:p>
    <w:p w:rsidR="004E4A74" w:rsidRPr="004E4A74" w:rsidRDefault="004E4A74" w:rsidP="004E4A74">
      <w:pPr>
        <w:ind w:firstLine="709"/>
        <w:contextualSpacing/>
        <w:jc w:val="both"/>
      </w:pPr>
      <w:r w:rsidRPr="004E4A74">
        <w:t>1. Отдел Министерства внутренних дел Российской Федерации по Таймырскому Долгано-Ненецкому району.</w:t>
      </w:r>
    </w:p>
    <w:p w:rsidR="004E4A74" w:rsidRPr="004E4A74" w:rsidRDefault="004E4A74" w:rsidP="004E4A74">
      <w:pPr>
        <w:spacing w:before="240"/>
        <w:ind w:firstLine="709"/>
        <w:contextualSpacing/>
        <w:jc w:val="both"/>
      </w:pPr>
      <w:r w:rsidRPr="004E4A74">
        <w:t>2. Отдел вневедо</w:t>
      </w:r>
      <w:bookmarkStart w:id="3" w:name="_GoBack"/>
      <w:bookmarkEnd w:id="3"/>
      <w:r w:rsidRPr="004E4A74">
        <w:t>мственной охраны по Таймырскому Долгано-Ненецкому району – филиал федерального государственного казенного учреждения «Управление вневедомственной охраны войск Национальной гвардии Российской Федерации по Красноярскому краю».</w:t>
      </w:r>
    </w:p>
    <w:p w:rsidR="004E4A74" w:rsidRPr="004E4A74" w:rsidRDefault="004E4A74" w:rsidP="004E4A74">
      <w:pPr>
        <w:spacing w:before="240"/>
        <w:ind w:firstLine="709"/>
        <w:contextualSpacing/>
        <w:jc w:val="both"/>
      </w:pPr>
      <w:r w:rsidRPr="004E4A74">
        <w:t xml:space="preserve">3. Отделение лицензионно-разрешительной работы (по городу Норильску и Таймырскому Долгано-Ненецкому району) г. Норильск Управления </w:t>
      </w:r>
      <w:proofErr w:type="spellStart"/>
      <w:r w:rsidRPr="004E4A74">
        <w:t>Росгвардии</w:t>
      </w:r>
      <w:proofErr w:type="spellEnd"/>
      <w:r w:rsidRPr="004E4A74">
        <w:t xml:space="preserve"> по Красноярскому краю.</w:t>
      </w:r>
    </w:p>
    <w:p w:rsidR="00ED2AF4" w:rsidRPr="004E4A74" w:rsidRDefault="00ED2AF4" w:rsidP="004E4A74">
      <w:pPr>
        <w:pStyle w:val="ConsPlusTitle"/>
        <w:jc w:val="center"/>
        <w:rPr>
          <w:b w:val="0"/>
          <w:sz w:val="24"/>
          <w:szCs w:val="24"/>
        </w:rPr>
      </w:pPr>
    </w:p>
    <w:sectPr w:rsidR="00ED2AF4" w:rsidRPr="004E4A74" w:rsidSect="004E4A74">
      <w:headerReference w:type="default" r:id="rId15"/>
      <w:footerReference w:type="default" r:id="rId16"/>
      <w:pgSz w:w="11906" w:h="16838"/>
      <w:pgMar w:top="1134" w:right="566" w:bottom="1276"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F4" w:rsidRDefault="00ED2AF4">
      <w:r>
        <w:separator/>
      </w:r>
    </w:p>
    <w:p w:rsidR="00ED2AF4" w:rsidRDefault="00ED2AF4"/>
  </w:endnote>
  <w:endnote w:type="continuationSeparator" w:id="0">
    <w:p w:rsidR="00ED2AF4" w:rsidRDefault="00ED2AF4">
      <w:r>
        <w:continuationSeparator/>
      </w:r>
    </w:p>
    <w:p w:rsidR="00ED2AF4" w:rsidRDefault="00ED2AF4"/>
  </w:endnote>
  <w:endnote w:type="continuationNotice" w:id="1">
    <w:p w:rsidR="00ED2AF4" w:rsidRDefault="00ED2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F4" w:rsidRPr="009234BA" w:rsidRDefault="00ED2AF4"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F4" w:rsidRDefault="00ED2AF4">
      <w:r>
        <w:separator/>
      </w:r>
    </w:p>
    <w:p w:rsidR="00ED2AF4" w:rsidRDefault="00ED2AF4"/>
  </w:footnote>
  <w:footnote w:type="continuationSeparator" w:id="0">
    <w:p w:rsidR="00ED2AF4" w:rsidRDefault="00ED2AF4">
      <w:r>
        <w:continuationSeparator/>
      </w:r>
    </w:p>
    <w:p w:rsidR="00ED2AF4" w:rsidRDefault="00ED2AF4"/>
  </w:footnote>
  <w:footnote w:type="continuationNotice" w:id="1">
    <w:p w:rsidR="00ED2AF4" w:rsidRDefault="00ED2A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ED2AF4" w:rsidRDefault="00ED2AF4">
        <w:pPr>
          <w:pStyle w:val="afff2"/>
          <w:jc w:val="right"/>
        </w:pPr>
        <w:r>
          <w:fldChar w:fldCharType="begin"/>
        </w:r>
        <w:r>
          <w:instrText>PAGE   \* MERGEFORMAT</w:instrText>
        </w:r>
        <w:r>
          <w:fldChar w:fldCharType="separate"/>
        </w:r>
        <w:r w:rsidR="004E4A74">
          <w:rPr>
            <w:noProof/>
          </w:rPr>
          <w:t>3</w:t>
        </w:r>
        <w:r>
          <w:fldChar w:fldCharType="end"/>
        </w:r>
      </w:p>
    </w:sdtContent>
  </w:sdt>
  <w:p w:rsidR="00ED2AF4" w:rsidRPr="007C4B51" w:rsidRDefault="00ED2AF4"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3">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2">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6">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4"/>
  </w:num>
  <w:num w:numId="2">
    <w:abstractNumId w:val="10"/>
  </w:num>
  <w:num w:numId="3">
    <w:abstractNumId w:val="11"/>
  </w:num>
  <w:num w:numId="4">
    <w:abstractNumId w:val="21"/>
  </w:num>
  <w:num w:numId="5">
    <w:abstractNumId w:val="27"/>
  </w:num>
  <w:num w:numId="6">
    <w:abstractNumId w:val="5"/>
  </w:num>
  <w:num w:numId="7">
    <w:abstractNumId w:val="19"/>
  </w:num>
  <w:num w:numId="8">
    <w:abstractNumId w:val="17"/>
  </w:num>
  <w:num w:numId="9">
    <w:abstractNumId w:val="8"/>
  </w:num>
  <w:num w:numId="10">
    <w:abstractNumId w:val="4"/>
  </w:num>
  <w:num w:numId="11">
    <w:abstractNumId w:val="18"/>
  </w:num>
  <w:num w:numId="12">
    <w:abstractNumId w:val="23"/>
  </w:num>
  <w:num w:numId="13">
    <w:abstractNumId w:val="7"/>
  </w:num>
  <w:num w:numId="14">
    <w:abstractNumId w:val="6"/>
  </w:num>
  <w:num w:numId="15">
    <w:abstractNumId w:val="25"/>
  </w:num>
  <w:num w:numId="16">
    <w:abstractNumId w:val="9"/>
  </w:num>
  <w:num w:numId="17">
    <w:abstractNumId w:val="15"/>
  </w:num>
  <w:num w:numId="18">
    <w:abstractNumId w:val="26"/>
  </w:num>
  <w:num w:numId="19">
    <w:abstractNumId w:val="24"/>
  </w:num>
  <w:num w:numId="20">
    <w:abstractNumId w:val="12"/>
  </w:num>
  <w:num w:numId="21">
    <w:abstractNumId w:val="20"/>
  </w:num>
  <w:num w:numId="22">
    <w:abstractNumId w:val="22"/>
  </w:num>
  <w:num w:numId="23">
    <w:abstractNumId w:val="16"/>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E1A6D38F5A8E73318E9E83217598B78F863877A36B7C586E76ECAA217965B6D8FA117B4036BBE4DBB7F8BD59N2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AEFFEA2A-EB93-46C7-88FC-62B48D42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341</Words>
  <Characters>3024</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3359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2024-11-25T05:46:00Z</cp:lastPrinted>
  <dcterms:created xsi:type="dcterms:W3CDTF">2024-11-25T05:44:00Z</dcterms:created>
  <dcterms:modified xsi:type="dcterms:W3CDTF">2024-11-25T05:46:00Z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