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191CC6" w:rsidRDefault="002C790B" w:rsidP="003914DA">
      <w:pPr>
        <w:jc w:val="center"/>
        <w:rPr>
          <w:b/>
          <w:caps/>
          <w:sz w:val="28"/>
          <w:szCs w:val="28"/>
        </w:rPr>
      </w:pPr>
      <w:bookmarkStart w:id="0" w:name="_Toc293146740"/>
      <w:bookmarkStart w:id="1" w:name="_Toc417655656"/>
      <w:r w:rsidRPr="00191CC6">
        <w:rPr>
          <w:b/>
          <w:caps/>
          <w:noProof/>
          <w:sz w:val="28"/>
          <w:szCs w:val="28"/>
        </w:rPr>
        <w:drawing>
          <wp:inline distT="0" distB="0" distL="0" distR="0" wp14:anchorId="3FD33B26" wp14:editId="259103B6">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191CC6" w:rsidRDefault="002C790B" w:rsidP="003914DA">
      <w:pPr>
        <w:jc w:val="center"/>
        <w:rPr>
          <w:b/>
          <w:caps/>
          <w:sz w:val="28"/>
          <w:szCs w:val="28"/>
        </w:rPr>
      </w:pPr>
    </w:p>
    <w:p w:rsidR="002C790B" w:rsidRPr="00191CC6" w:rsidRDefault="002C790B" w:rsidP="003914DA">
      <w:pPr>
        <w:jc w:val="center"/>
        <w:rPr>
          <w:b/>
          <w:caps/>
          <w:sz w:val="28"/>
          <w:szCs w:val="28"/>
          <w:u w:val="single"/>
        </w:rPr>
      </w:pPr>
      <w:r w:rsidRPr="00191CC6">
        <w:rPr>
          <w:b/>
          <w:caps/>
          <w:sz w:val="28"/>
          <w:szCs w:val="28"/>
          <w:u w:val="single"/>
        </w:rPr>
        <w:t>ТАЙМЫРСКИЙ ДОЛГАНО-НЕНЕЦКИЙ МУНИЦИПАЛЬНЫЙ РАЙОН</w:t>
      </w:r>
    </w:p>
    <w:p w:rsidR="002C790B" w:rsidRPr="00191CC6" w:rsidRDefault="002C790B" w:rsidP="003914DA">
      <w:pPr>
        <w:jc w:val="center"/>
        <w:rPr>
          <w:b/>
          <w:caps/>
          <w:sz w:val="28"/>
          <w:szCs w:val="28"/>
        </w:rPr>
      </w:pPr>
    </w:p>
    <w:p w:rsidR="002C790B" w:rsidRPr="00191CC6" w:rsidRDefault="002C790B" w:rsidP="003914DA">
      <w:pPr>
        <w:jc w:val="center"/>
        <w:rPr>
          <w:b/>
          <w:caps/>
          <w:sz w:val="28"/>
          <w:szCs w:val="28"/>
        </w:rPr>
      </w:pPr>
      <w:r w:rsidRPr="00191CC6">
        <w:rPr>
          <w:b/>
          <w:caps/>
          <w:sz w:val="28"/>
          <w:szCs w:val="28"/>
        </w:rPr>
        <w:t>Таймырский Долгано-Ненецкий районный Совет депутатов</w:t>
      </w:r>
    </w:p>
    <w:p w:rsidR="002C790B" w:rsidRPr="00191CC6" w:rsidRDefault="002C790B" w:rsidP="003914DA">
      <w:pPr>
        <w:jc w:val="center"/>
        <w:rPr>
          <w:b/>
          <w:caps/>
          <w:sz w:val="28"/>
          <w:szCs w:val="28"/>
        </w:rPr>
      </w:pPr>
    </w:p>
    <w:p w:rsidR="002C790B" w:rsidRPr="00191CC6" w:rsidRDefault="002C790B" w:rsidP="003914DA">
      <w:pPr>
        <w:jc w:val="center"/>
        <w:rPr>
          <w:b/>
          <w:caps/>
          <w:sz w:val="28"/>
          <w:szCs w:val="28"/>
        </w:rPr>
      </w:pPr>
      <w:proofErr w:type="gramStart"/>
      <w:r w:rsidRPr="00191CC6">
        <w:rPr>
          <w:b/>
          <w:caps/>
          <w:sz w:val="28"/>
          <w:szCs w:val="28"/>
        </w:rPr>
        <w:t>Р</w:t>
      </w:r>
      <w:proofErr w:type="gramEnd"/>
      <w:r w:rsidRPr="00191CC6">
        <w:rPr>
          <w:b/>
          <w:caps/>
          <w:sz w:val="28"/>
          <w:szCs w:val="28"/>
        </w:rPr>
        <w:t xml:space="preserve"> Е Ш Е Н И Е</w:t>
      </w:r>
    </w:p>
    <w:p w:rsidR="002C790B" w:rsidRPr="00191CC6" w:rsidRDefault="002C790B" w:rsidP="003914DA">
      <w:pPr>
        <w:jc w:val="center"/>
        <w:rPr>
          <w:b/>
          <w:caps/>
          <w:sz w:val="28"/>
          <w:szCs w:val="28"/>
        </w:rPr>
      </w:pPr>
    </w:p>
    <w:p w:rsidR="002C790B" w:rsidRPr="00191CC6" w:rsidRDefault="007D195B" w:rsidP="003914DA">
      <w:pPr>
        <w:jc w:val="center"/>
        <w:rPr>
          <w:b/>
          <w:sz w:val="28"/>
          <w:szCs w:val="28"/>
        </w:rPr>
      </w:pPr>
      <w:r>
        <w:rPr>
          <w:b/>
          <w:sz w:val="28"/>
          <w:szCs w:val="28"/>
        </w:rPr>
        <w:t>20.02</w:t>
      </w:r>
      <w:r w:rsidR="00E2498F" w:rsidRPr="00191CC6">
        <w:rPr>
          <w:b/>
          <w:sz w:val="28"/>
          <w:szCs w:val="28"/>
        </w:rPr>
        <w:t>.2025</w:t>
      </w:r>
      <w:r w:rsidR="002C790B" w:rsidRPr="00191CC6">
        <w:rPr>
          <w:b/>
          <w:sz w:val="28"/>
          <w:szCs w:val="28"/>
        </w:rPr>
        <w:t xml:space="preserve">                                                                   </w:t>
      </w:r>
      <w:r w:rsidR="003914DA">
        <w:rPr>
          <w:b/>
          <w:sz w:val="28"/>
          <w:szCs w:val="28"/>
        </w:rPr>
        <w:t xml:space="preserve">  </w:t>
      </w:r>
      <w:r w:rsidR="002C790B" w:rsidRPr="00191CC6">
        <w:rPr>
          <w:b/>
          <w:sz w:val="28"/>
          <w:szCs w:val="28"/>
        </w:rPr>
        <w:t xml:space="preserve">                                         № 0</w:t>
      </w:r>
      <w:r w:rsidR="00E2498F" w:rsidRPr="00191CC6">
        <w:rPr>
          <w:b/>
          <w:sz w:val="28"/>
          <w:szCs w:val="28"/>
        </w:rPr>
        <w:t>4</w:t>
      </w:r>
      <w:r w:rsidR="002C790B" w:rsidRPr="00191CC6">
        <w:rPr>
          <w:b/>
          <w:sz w:val="28"/>
          <w:szCs w:val="28"/>
        </w:rPr>
        <w:t xml:space="preserve"> – 0</w:t>
      </w:r>
      <w:r w:rsidR="007917C8">
        <w:rPr>
          <w:b/>
          <w:sz w:val="28"/>
          <w:szCs w:val="28"/>
        </w:rPr>
        <w:t>8</w:t>
      </w:r>
      <w:r w:rsidR="003914DA">
        <w:rPr>
          <w:b/>
          <w:sz w:val="28"/>
          <w:szCs w:val="28"/>
        </w:rPr>
        <w:t>4</w:t>
      </w:r>
    </w:p>
    <w:p w:rsidR="002C790B" w:rsidRPr="00191CC6" w:rsidRDefault="002C790B" w:rsidP="003914DA">
      <w:pPr>
        <w:jc w:val="center"/>
        <w:rPr>
          <w:b/>
          <w:sz w:val="28"/>
          <w:szCs w:val="28"/>
        </w:rPr>
      </w:pPr>
      <w:r w:rsidRPr="00191CC6">
        <w:rPr>
          <w:b/>
          <w:sz w:val="28"/>
          <w:szCs w:val="28"/>
        </w:rPr>
        <w:t>г. Дудинка</w:t>
      </w:r>
    </w:p>
    <w:p w:rsidR="002C790B" w:rsidRPr="00191CC6" w:rsidRDefault="002C790B" w:rsidP="003914DA">
      <w:pPr>
        <w:autoSpaceDE w:val="0"/>
        <w:autoSpaceDN w:val="0"/>
        <w:adjustRightInd w:val="0"/>
        <w:jc w:val="center"/>
        <w:rPr>
          <w:b/>
          <w:bCs/>
          <w:sz w:val="28"/>
          <w:szCs w:val="28"/>
        </w:rPr>
      </w:pPr>
    </w:p>
    <w:bookmarkEnd w:id="0"/>
    <w:bookmarkEnd w:id="1"/>
    <w:p w:rsidR="003914DA" w:rsidRDefault="003914DA" w:rsidP="003914DA">
      <w:pPr>
        <w:shd w:val="clear" w:color="auto" w:fill="FFFFFF"/>
        <w:ind w:left="-420" w:right="-5"/>
        <w:jc w:val="center"/>
        <w:rPr>
          <w:b/>
          <w:bCs/>
          <w:sz w:val="28"/>
        </w:rPr>
      </w:pPr>
      <w:r>
        <w:rPr>
          <w:b/>
          <w:bCs/>
          <w:sz w:val="28"/>
          <w:lang w:bidi="ru-RU"/>
        </w:rPr>
        <w:t xml:space="preserve">Об утверждении Порядка </w:t>
      </w:r>
      <w:r>
        <w:rPr>
          <w:b/>
          <w:bCs/>
          <w:color w:val="000000"/>
          <w:sz w:val="28"/>
          <w:szCs w:val="28"/>
          <w:lang w:bidi="ru-RU"/>
        </w:rPr>
        <w:t xml:space="preserve">предоставления в 2025 году иных межбюджетных трансфертов из бюджета Таймырского Долгано-Ненецкого муниципального района бюджетам городских, сельских поселений, входящих в состав Таймырского Долгано-Ненецкого муниципального района на финансовое обеспечение </w:t>
      </w:r>
      <w:r>
        <w:rPr>
          <w:b/>
          <w:bCs/>
          <w:sz w:val="28"/>
          <w:szCs w:val="28"/>
        </w:rPr>
        <w:t xml:space="preserve">(возмещение) расходов на увеличение </w:t>
      </w:r>
      <w:proofErr w:type="gramStart"/>
      <w:r>
        <w:rPr>
          <w:b/>
          <w:bCs/>
          <w:sz w:val="28"/>
          <w:szCs w:val="28"/>
        </w:rPr>
        <w:t>размеров оплаты труда</w:t>
      </w:r>
      <w:proofErr w:type="gramEnd"/>
      <w:r>
        <w:rPr>
          <w:b/>
          <w:bCs/>
          <w:sz w:val="28"/>
          <w:szCs w:val="28"/>
        </w:rPr>
        <w:t xml:space="preserve"> отдельным категориям работников бюджетной сферы Красноярского кра</w:t>
      </w:r>
      <w:r>
        <w:rPr>
          <w:b/>
          <w:bCs/>
          <w:color w:val="000000"/>
          <w:sz w:val="28"/>
          <w:szCs w:val="28"/>
          <w:lang w:bidi="ru-RU"/>
        </w:rPr>
        <w:t>я</w:t>
      </w:r>
    </w:p>
    <w:p w:rsidR="003914DA" w:rsidRDefault="003914DA" w:rsidP="003914DA">
      <w:pPr>
        <w:pStyle w:val="ConsPlusTitle"/>
        <w:jc w:val="center"/>
        <w:rPr>
          <w:rFonts w:ascii="Times New Roman" w:hAnsi="Times New Roman" w:cs="Times New Roman"/>
          <w:sz w:val="28"/>
          <w:szCs w:val="28"/>
        </w:rPr>
      </w:pPr>
    </w:p>
    <w:p w:rsidR="003914DA" w:rsidRPr="003914DA" w:rsidRDefault="003914DA" w:rsidP="003914DA">
      <w:pPr>
        <w:ind w:firstLine="720"/>
        <w:jc w:val="both"/>
        <w:rPr>
          <w:sz w:val="28"/>
          <w:szCs w:val="28"/>
        </w:rPr>
      </w:pPr>
      <w:r w:rsidRPr="003914DA">
        <w:rPr>
          <w:sz w:val="28"/>
          <w:szCs w:val="28"/>
        </w:rPr>
        <w:t xml:space="preserve">В соответствии со </w:t>
      </w:r>
      <w:hyperlink r:id="rId14" w:tooltip="consultantplus://offline/ref=A02CF25A81A9BF3E97516890B507DB7F120762FE576A2D6AE683738E355EA8C42578DD9063193BDBDFAF8565F61A1A732952B91D8848bBn9J" w:history="1">
        <w:r w:rsidRPr="003914DA">
          <w:rPr>
            <w:sz w:val="28"/>
            <w:szCs w:val="28"/>
          </w:rPr>
          <w:t>статьей 142</w:t>
        </w:r>
      </w:hyperlink>
      <w:r w:rsidRPr="003914DA">
        <w:rPr>
          <w:sz w:val="28"/>
          <w:szCs w:val="28"/>
        </w:rPr>
        <w:t xml:space="preserve">, 142.4 Бюджетного кодекса Российской Федерации, </w:t>
      </w:r>
      <w:hyperlink r:id="rId15" w:tooltip="consultantplus://offline/ref=A02CF25A81A9BF3E9751769DA36B8470150A3DF35C6F273FBDD475D96A0EAE916538DBC1275933D18BFFC036FD114B3C6C05AA1F8D54BB8B4FB5A9A6bCnBJ" w:history="1">
        <w:r w:rsidRPr="003914DA">
          <w:rPr>
            <w:sz w:val="28"/>
            <w:szCs w:val="28"/>
          </w:rPr>
          <w:t>Законом</w:t>
        </w:r>
      </w:hyperlink>
      <w:r w:rsidRPr="003914DA">
        <w:rPr>
          <w:sz w:val="28"/>
          <w:szCs w:val="28"/>
        </w:rPr>
        <w:t xml:space="preserve"> Красноярского края от 10 июля 2007 года № 2-317 «О межбюджетных отношениях в Красноярском крае», </w:t>
      </w:r>
      <w:proofErr w:type="gramStart"/>
      <w:r w:rsidRPr="003914DA">
        <w:rPr>
          <w:sz w:val="28"/>
          <w:szCs w:val="28"/>
        </w:rPr>
        <w:t>П</w:t>
      </w:r>
      <w:hyperlink r:id="rId16" w:tooltip="consultantplus://offline/ref=A02CF25A81A9BF3E9751769DA36B8470150A3DF35D68223EB3D275D96A0EAE916538DBC1275933D18BFEC133F8114B3C6C05AA1F8D54BB8B4FB5A9A6bCnBJ" w:history="1">
        <w:r w:rsidRPr="003914DA">
          <w:rPr>
            <w:sz w:val="28"/>
            <w:szCs w:val="28"/>
          </w:rPr>
          <w:t>остановлением</w:t>
        </w:r>
        <w:proofErr w:type="gramEnd"/>
      </w:hyperlink>
      <w:r w:rsidRPr="003914DA">
        <w:rPr>
          <w:sz w:val="28"/>
          <w:szCs w:val="28"/>
        </w:rPr>
        <w:t xml:space="preserve"> Правительства Красноярского края от 28 декабря 2024 года № 1107-п «О предоставлении в 2025 году иных межбюджетных трансфертов из краевого бюджета бюджетам муниципальных образований Красноярского края 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w:t>
      </w:r>
      <w:r w:rsidRPr="003914DA">
        <w:rPr>
          <w:spacing w:val="-6"/>
          <w:sz w:val="28"/>
          <w:szCs w:val="28"/>
        </w:rPr>
        <w:t xml:space="preserve">», </w:t>
      </w:r>
      <w:hyperlink r:id="rId17" w:tooltip="consultantplus://offline/ref=A02CF25A81A9BF3E9751769DA36B8470150A3DF35D662E3DB8D675D96A0EAE916538DBC1275933D18BFDC330F8114B3C6C05AA1F8D54BB8B4FB5A9A6bCnBJ" w:history="1">
        <w:r w:rsidRPr="003914DA">
          <w:rPr>
            <w:sz w:val="28"/>
            <w:szCs w:val="28"/>
          </w:rPr>
          <w:t>Уставом</w:t>
        </w:r>
      </w:hyperlink>
      <w:r w:rsidRPr="003914DA">
        <w:rPr>
          <w:sz w:val="28"/>
          <w:szCs w:val="28"/>
        </w:rPr>
        <w:t xml:space="preserve"> Таймырского Долгано-Ненецкого муниципального района, Таймырский </w:t>
      </w:r>
      <w:proofErr w:type="gramStart"/>
      <w:r w:rsidRPr="003914DA">
        <w:rPr>
          <w:sz w:val="28"/>
          <w:szCs w:val="28"/>
        </w:rPr>
        <w:t>Долгано</w:t>
      </w:r>
      <w:r>
        <w:rPr>
          <w:sz w:val="28"/>
          <w:szCs w:val="28"/>
        </w:rPr>
        <w:t>-</w:t>
      </w:r>
      <w:r w:rsidRPr="003914DA">
        <w:rPr>
          <w:sz w:val="28"/>
          <w:szCs w:val="28"/>
        </w:rPr>
        <w:t>Ненецкий</w:t>
      </w:r>
      <w:proofErr w:type="gramEnd"/>
      <w:r w:rsidRPr="003914DA">
        <w:rPr>
          <w:sz w:val="28"/>
          <w:szCs w:val="28"/>
        </w:rPr>
        <w:t xml:space="preserve"> районный Совет депутатов </w:t>
      </w:r>
      <w:r w:rsidRPr="003914DA">
        <w:rPr>
          <w:b/>
          <w:sz w:val="28"/>
          <w:szCs w:val="28"/>
        </w:rPr>
        <w:t>решил:</w:t>
      </w:r>
    </w:p>
    <w:p w:rsidR="003914DA" w:rsidRPr="003914DA" w:rsidRDefault="003914DA" w:rsidP="003914DA">
      <w:pPr>
        <w:ind w:firstLine="720"/>
        <w:jc w:val="both"/>
        <w:rPr>
          <w:sz w:val="28"/>
          <w:szCs w:val="28"/>
        </w:rPr>
      </w:pPr>
    </w:p>
    <w:p w:rsidR="003914DA" w:rsidRPr="003914DA" w:rsidRDefault="003914DA" w:rsidP="003914DA">
      <w:pPr>
        <w:ind w:firstLine="720"/>
        <w:jc w:val="both"/>
        <w:rPr>
          <w:sz w:val="28"/>
          <w:szCs w:val="28"/>
        </w:rPr>
      </w:pPr>
      <w:r w:rsidRPr="003914DA">
        <w:rPr>
          <w:sz w:val="28"/>
          <w:szCs w:val="28"/>
        </w:rPr>
        <w:t xml:space="preserve">1. Утвердить </w:t>
      </w:r>
      <w:r w:rsidRPr="003914DA">
        <w:rPr>
          <w:bCs/>
          <w:sz w:val="28"/>
          <w:szCs w:val="28"/>
          <w:lang w:bidi="ru-RU"/>
        </w:rPr>
        <w:t xml:space="preserve">Порядок </w:t>
      </w:r>
      <w:r w:rsidRPr="003914DA">
        <w:rPr>
          <w:color w:val="000000"/>
          <w:sz w:val="28"/>
          <w:szCs w:val="28"/>
          <w:lang w:bidi="ru-RU"/>
        </w:rPr>
        <w:t xml:space="preserve">предоставления в 2025 году иных межбюджетных трансфертов из бюджета Таймырского Долгано-Ненецкого муниципального района бюджетам городских, сельских поселений, входящих в состав Таймырского Долгано-Ненецкого муниципального района на финансовое обеспечение </w:t>
      </w:r>
      <w:r w:rsidRPr="003914DA">
        <w:rPr>
          <w:sz w:val="28"/>
          <w:szCs w:val="28"/>
        </w:rPr>
        <w:t xml:space="preserve">(возмещение) расходов на увеличение </w:t>
      </w:r>
      <w:proofErr w:type="gramStart"/>
      <w:r w:rsidRPr="003914DA">
        <w:rPr>
          <w:sz w:val="28"/>
          <w:szCs w:val="28"/>
        </w:rPr>
        <w:t>размеров оплаты труда</w:t>
      </w:r>
      <w:proofErr w:type="gramEnd"/>
      <w:r w:rsidRPr="003914DA">
        <w:rPr>
          <w:sz w:val="28"/>
          <w:szCs w:val="28"/>
        </w:rPr>
        <w:t xml:space="preserve"> отдельным категориям работников бюджетной сферы Красноярского кра</w:t>
      </w:r>
      <w:r w:rsidRPr="003914DA">
        <w:rPr>
          <w:color w:val="000000"/>
          <w:sz w:val="28"/>
          <w:szCs w:val="28"/>
          <w:lang w:bidi="ru-RU"/>
        </w:rPr>
        <w:t>я</w:t>
      </w:r>
      <w:r w:rsidRPr="003914DA">
        <w:rPr>
          <w:sz w:val="28"/>
          <w:szCs w:val="28"/>
        </w:rPr>
        <w:t>, согласно приложению к настоящему Решению.</w:t>
      </w:r>
    </w:p>
    <w:p w:rsidR="003914DA" w:rsidRPr="003914DA" w:rsidRDefault="003914DA" w:rsidP="003914DA">
      <w:pPr>
        <w:pStyle w:val="ConsPlusNormal"/>
        <w:contextualSpacing/>
        <w:jc w:val="both"/>
        <w:rPr>
          <w:rFonts w:ascii="Times New Roman" w:hAnsi="Times New Roman" w:cs="Times New Roman"/>
          <w:color w:val="000000" w:themeColor="text1"/>
          <w:sz w:val="28"/>
          <w:szCs w:val="28"/>
          <w:highlight w:val="white"/>
        </w:rPr>
      </w:pPr>
    </w:p>
    <w:p w:rsidR="003914DA" w:rsidRPr="003914DA" w:rsidRDefault="003914DA" w:rsidP="003914DA">
      <w:pPr>
        <w:pStyle w:val="ConsPlusNormal"/>
        <w:jc w:val="both"/>
        <w:rPr>
          <w:rFonts w:ascii="Times New Roman" w:hAnsi="Times New Roman" w:cs="Times New Roman"/>
          <w:iCs/>
          <w:sz w:val="28"/>
          <w:szCs w:val="28"/>
        </w:rPr>
      </w:pPr>
      <w:r w:rsidRPr="003914DA">
        <w:rPr>
          <w:rFonts w:ascii="Times New Roman" w:hAnsi="Times New Roman" w:cs="Times New Roman"/>
          <w:sz w:val="28"/>
          <w:szCs w:val="28"/>
        </w:rPr>
        <w:t xml:space="preserve">2. Настоящее Решение </w:t>
      </w:r>
      <w:proofErr w:type="gramStart"/>
      <w:r w:rsidRPr="003914DA">
        <w:rPr>
          <w:rFonts w:ascii="Times New Roman" w:hAnsi="Times New Roman" w:cs="Times New Roman"/>
          <w:sz w:val="28"/>
          <w:szCs w:val="28"/>
        </w:rPr>
        <w:t>вступает в силу после дня его официального обнародования и распространяет</w:t>
      </w:r>
      <w:proofErr w:type="gramEnd"/>
      <w:r w:rsidRPr="003914DA">
        <w:rPr>
          <w:rFonts w:ascii="Times New Roman" w:hAnsi="Times New Roman" w:cs="Times New Roman"/>
          <w:sz w:val="28"/>
          <w:szCs w:val="28"/>
        </w:rPr>
        <w:t xml:space="preserve"> свое действие на правоотношения, </w:t>
      </w:r>
      <w:r w:rsidRPr="003914DA">
        <w:rPr>
          <w:rFonts w:ascii="Times New Roman" w:hAnsi="Times New Roman" w:cs="Times New Roman"/>
          <w:iCs/>
          <w:sz w:val="28"/>
          <w:szCs w:val="28"/>
        </w:rPr>
        <w:t>возникшие с 1 января 2025 года.</w:t>
      </w:r>
    </w:p>
    <w:p w:rsidR="0074104B" w:rsidRPr="003914DA" w:rsidRDefault="0074104B" w:rsidP="003914DA">
      <w:pPr>
        <w:autoSpaceDE w:val="0"/>
        <w:autoSpaceDN w:val="0"/>
        <w:adjustRightInd w:val="0"/>
        <w:ind w:firstLine="720"/>
        <w:jc w:val="both"/>
        <w:outlineLvl w:val="0"/>
        <w:rPr>
          <w:sz w:val="28"/>
          <w:szCs w:val="28"/>
        </w:rPr>
      </w:pPr>
    </w:p>
    <w:tbl>
      <w:tblPr>
        <w:tblW w:w="0" w:type="auto"/>
        <w:tblLook w:val="04A0" w:firstRow="1" w:lastRow="0" w:firstColumn="1" w:lastColumn="0" w:noHBand="0" w:noVBand="1"/>
      </w:tblPr>
      <w:tblGrid>
        <w:gridCol w:w="4928"/>
        <w:gridCol w:w="709"/>
        <w:gridCol w:w="4644"/>
      </w:tblGrid>
      <w:tr w:rsidR="0074104B" w:rsidRPr="00191CC6" w:rsidTr="00ED2AF4">
        <w:tc>
          <w:tcPr>
            <w:tcW w:w="4928" w:type="dxa"/>
            <w:shd w:val="clear" w:color="auto" w:fill="auto"/>
          </w:tcPr>
          <w:p w:rsidR="0074104B" w:rsidRPr="00191CC6" w:rsidRDefault="0074104B" w:rsidP="003914DA">
            <w:pPr>
              <w:pStyle w:val="ConsPlusNormal"/>
              <w:ind w:firstLine="0"/>
              <w:jc w:val="both"/>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Председатель </w:t>
            </w:r>
            <w:proofErr w:type="gramStart"/>
            <w:r w:rsidRPr="00191CC6">
              <w:rPr>
                <w:rFonts w:ascii="Times New Roman" w:eastAsia="Calibri" w:hAnsi="Times New Roman" w:cs="Times New Roman"/>
                <w:b/>
                <w:sz w:val="28"/>
                <w:szCs w:val="28"/>
              </w:rPr>
              <w:t>Таймырского</w:t>
            </w:r>
            <w:proofErr w:type="gramEnd"/>
            <w:r w:rsidRPr="00191CC6">
              <w:rPr>
                <w:rFonts w:ascii="Times New Roman" w:eastAsia="Calibri" w:hAnsi="Times New Roman" w:cs="Times New Roman"/>
                <w:b/>
                <w:sz w:val="28"/>
                <w:szCs w:val="28"/>
              </w:rPr>
              <w:t xml:space="preserve"> </w:t>
            </w:r>
          </w:p>
          <w:p w:rsidR="0074104B" w:rsidRPr="00191CC6" w:rsidRDefault="0074104B" w:rsidP="003914DA">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Долгано-Ненецкого районного Совета депутатов </w:t>
            </w:r>
          </w:p>
          <w:p w:rsidR="0074104B" w:rsidRPr="00191CC6" w:rsidRDefault="0074104B" w:rsidP="003914DA">
            <w:pPr>
              <w:pStyle w:val="ConsPlusNormal"/>
              <w:ind w:firstLine="0"/>
              <w:rPr>
                <w:rFonts w:ascii="Times New Roman" w:eastAsia="Calibri" w:hAnsi="Times New Roman" w:cs="Times New Roman"/>
                <w:b/>
                <w:sz w:val="28"/>
                <w:szCs w:val="28"/>
              </w:rPr>
            </w:pPr>
          </w:p>
          <w:p w:rsidR="0074104B" w:rsidRPr="00191CC6" w:rsidRDefault="0074104B" w:rsidP="003914DA">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____________________ В.Н. Шишов</w:t>
            </w:r>
          </w:p>
        </w:tc>
        <w:tc>
          <w:tcPr>
            <w:tcW w:w="709" w:type="dxa"/>
            <w:shd w:val="clear" w:color="auto" w:fill="auto"/>
          </w:tcPr>
          <w:p w:rsidR="0074104B" w:rsidRPr="00191CC6" w:rsidRDefault="0074104B" w:rsidP="003914DA">
            <w:pPr>
              <w:pStyle w:val="ConsPlusNormal"/>
              <w:rPr>
                <w:rFonts w:ascii="Times New Roman" w:eastAsia="Calibri" w:hAnsi="Times New Roman" w:cs="Times New Roman"/>
                <w:b/>
                <w:sz w:val="28"/>
                <w:szCs w:val="28"/>
              </w:rPr>
            </w:pPr>
          </w:p>
        </w:tc>
        <w:tc>
          <w:tcPr>
            <w:tcW w:w="4644" w:type="dxa"/>
            <w:shd w:val="clear" w:color="auto" w:fill="auto"/>
          </w:tcPr>
          <w:p w:rsidR="0074104B" w:rsidRPr="00191CC6" w:rsidRDefault="0074104B" w:rsidP="003914DA">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Глава </w:t>
            </w:r>
            <w:proofErr w:type="gramStart"/>
            <w:r w:rsidRPr="00191CC6">
              <w:rPr>
                <w:rFonts w:ascii="Times New Roman" w:eastAsia="Calibri" w:hAnsi="Times New Roman" w:cs="Times New Roman"/>
                <w:b/>
                <w:sz w:val="28"/>
                <w:szCs w:val="28"/>
              </w:rPr>
              <w:t>Таймырского</w:t>
            </w:r>
            <w:proofErr w:type="gramEnd"/>
            <w:r w:rsidRPr="00191CC6">
              <w:rPr>
                <w:rFonts w:ascii="Times New Roman" w:eastAsia="Calibri" w:hAnsi="Times New Roman" w:cs="Times New Roman"/>
                <w:b/>
                <w:sz w:val="28"/>
                <w:szCs w:val="28"/>
              </w:rPr>
              <w:t xml:space="preserve"> </w:t>
            </w:r>
          </w:p>
          <w:p w:rsidR="0074104B" w:rsidRPr="00191CC6" w:rsidRDefault="0074104B" w:rsidP="003914DA">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Долгано-Ненецкого </w:t>
            </w:r>
          </w:p>
          <w:p w:rsidR="0074104B" w:rsidRPr="00191CC6" w:rsidRDefault="0074104B" w:rsidP="003914DA">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муниципального района </w:t>
            </w:r>
          </w:p>
          <w:p w:rsidR="0074104B" w:rsidRPr="00191CC6" w:rsidRDefault="0074104B" w:rsidP="003914DA">
            <w:pPr>
              <w:pStyle w:val="ConsPlusNormal"/>
              <w:ind w:firstLine="0"/>
              <w:rPr>
                <w:rFonts w:ascii="Times New Roman" w:eastAsia="Calibri" w:hAnsi="Times New Roman" w:cs="Times New Roman"/>
                <w:b/>
                <w:sz w:val="28"/>
                <w:szCs w:val="28"/>
              </w:rPr>
            </w:pPr>
          </w:p>
          <w:p w:rsidR="0074104B" w:rsidRPr="00191CC6" w:rsidRDefault="0074104B" w:rsidP="003914DA">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_________________ А.В. Членов </w:t>
            </w:r>
          </w:p>
        </w:tc>
      </w:tr>
    </w:tbl>
    <w:p w:rsidR="003914DA" w:rsidRDefault="003914DA" w:rsidP="003914DA">
      <w:pPr>
        <w:sectPr w:rsidR="003914DA" w:rsidSect="003914DA">
          <w:headerReference w:type="default" r:id="rId18"/>
          <w:footerReference w:type="default" r:id="rId19"/>
          <w:pgSz w:w="11906" w:h="16838"/>
          <w:pgMar w:top="284" w:right="424" w:bottom="142" w:left="993" w:header="283" w:footer="283" w:gutter="0"/>
          <w:cols w:space="708"/>
          <w:titlePg/>
          <w:docGrid w:linePitch="360"/>
        </w:sectPr>
      </w:pPr>
    </w:p>
    <w:p w:rsidR="003914DA" w:rsidRDefault="003914DA" w:rsidP="003914DA"/>
    <w:p w:rsidR="003914DA" w:rsidRPr="003914DA" w:rsidRDefault="003914DA" w:rsidP="003914DA">
      <w:pPr>
        <w:widowControl w:val="0"/>
        <w:ind w:left="5103"/>
        <w:outlineLvl w:val="0"/>
      </w:pPr>
      <w:r w:rsidRPr="003914DA">
        <w:t>Приложение к Решению</w:t>
      </w:r>
    </w:p>
    <w:p w:rsidR="003914DA" w:rsidRPr="003914DA" w:rsidRDefault="003914DA" w:rsidP="003914DA">
      <w:pPr>
        <w:widowControl w:val="0"/>
        <w:ind w:left="5103"/>
      </w:pPr>
      <w:r w:rsidRPr="003914DA">
        <w:t>Таймырского Долгано-Ненецкого</w:t>
      </w:r>
    </w:p>
    <w:p w:rsidR="003914DA" w:rsidRPr="003914DA" w:rsidRDefault="003914DA" w:rsidP="003914DA">
      <w:pPr>
        <w:widowControl w:val="0"/>
        <w:ind w:left="5103"/>
      </w:pPr>
      <w:r w:rsidRPr="003914DA">
        <w:t>районного Совета депутатов</w:t>
      </w:r>
    </w:p>
    <w:p w:rsidR="003914DA" w:rsidRPr="003914DA" w:rsidRDefault="003914DA" w:rsidP="003914DA">
      <w:pPr>
        <w:widowControl w:val="0"/>
        <w:ind w:left="5103"/>
      </w:pPr>
      <w:r w:rsidRPr="003914DA">
        <w:t xml:space="preserve">от </w:t>
      </w:r>
      <w:r>
        <w:t xml:space="preserve">20.02.2025 года № 04 – 084 </w:t>
      </w:r>
    </w:p>
    <w:p w:rsidR="003914DA" w:rsidRPr="003914DA" w:rsidRDefault="003914DA" w:rsidP="003914DA">
      <w:pPr>
        <w:widowControl w:val="0"/>
        <w:jc w:val="center"/>
        <w:rPr>
          <w:b/>
          <w:color w:val="000000"/>
          <w:lang w:bidi="ru-RU"/>
        </w:rPr>
      </w:pPr>
    </w:p>
    <w:p w:rsidR="003914DA" w:rsidRPr="003914DA" w:rsidRDefault="003914DA" w:rsidP="003914DA">
      <w:pPr>
        <w:widowControl w:val="0"/>
        <w:jc w:val="center"/>
        <w:rPr>
          <w:b/>
          <w:color w:val="000000"/>
          <w:lang w:bidi="ru-RU"/>
        </w:rPr>
      </w:pPr>
    </w:p>
    <w:p w:rsidR="003914DA" w:rsidRPr="003914DA" w:rsidRDefault="003914DA" w:rsidP="003914DA">
      <w:pPr>
        <w:widowControl w:val="0"/>
        <w:jc w:val="center"/>
        <w:rPr>
          <w:b/>
          <w:color w:val="000000"/>
          <w:lang w:bidi="ru-RU"/>
        </w:rPr>
      </w:pPr>
      <w:r w:rsidRPr="003914DA">
        <w:rPr>
          <w:b/>
          <w:color w:val="000000"/>
          <w:lang w:bidi="ru-RU"/>
        </w:rPr>
        <w:t>Порядок</w:t>
      </w:r>
    </w:p>
    <w:p w:rsidR="003914DA" w:rsidRPr="003914DA" w:rsidRDefault="003914DA" w:rsidP="003914DA">
      <w:pPr>
        <w:widowControl w:val="0"/>
        <w:jc w:val="center"/>
        <w:rPr>
          <w:b/>
          <w:color w:val="000000"/>
          <w:lang w:bidi="ru-RU"/>
        </w:rPr>
      </w:pPr>
      <w:r w:rsidRPr="003914DA">
        <w:rPr>
          <w:b/>
          <w:color w:val="000000"/>
          <w:lang w:bidi="ru-RU"/>
        </w:rPr>
        <w:t xml:space="preserve">предоставления в 2025 году иных межбюджетных трансфертов из бюджета Таймырского Долгано-Ненецкого муниципального района бюджетам городских, сельских поселений, входящих в состав Таймырского Долгано-Ненецкого муниципального района на финансовое обеспечение </w:t>
      </w:r>
      <w:r w:rsidRPr="003914DA">
        <w:rPr>
          <w:b/>
        </w:rPr>
        <w:t xml:space="preserve">(возмещение) расходов на увеличение </w:t>
      </w:r>
      <w:proofErr w:type="gramStart"/>
      <w:r w:rsidRPr="003914DA">
        <w:rPr>
          <w:b/>
        </w:rPr>
        <w:t>размеров оплаты труда</w:t>
      </w:r>
      <w:proofErr w:type="gramEnd"/>
      <w:r w:rsidRPr="003914DA">
        <w:rPr>
          <w:b/>
        </w:rPr>
        <w:t xml:space="preserve"> отдельным категориям работников бюджетной сферы Красноярского кра</w:t>
      </w:r>
      <w:r w:rsidRPr="003914DA">
        <w:rPr>
          <w:b/>
          <w:color w:val="000000"/>
          <w:lang w:bidi="ru-RU"/>
        </w:rPr>
        <w:t>я</w:t>
      </w:r>
    </w:p>
    <w:p w:rsidR="003914DA" w:rsidRDefault="003914DA" w:rsidP="003914DA">
      <w:pPr>
        <w:widowControl w:val="0"/>
        <w:jc w:val="center"/>
        <w:outlineLvl w:val="1"/>
        <w:rPr>
          <w:b/>
          <w:color w:val="000000"/>
          <w:lang w:bidi="ru-RU"/>
        </w:rPr>
      </w:pPr>
    </w:p>
    <w:p w:rsidR="003914DA" w:rsidRPr="003914DA" w:rsidRDefault="003914DA" w:rsidP="003914DA">
      <w:pPr>
        <w:widowControl w:val="0"/>
        <w:contextualSpacing/>
        <w:jc w:val="center"/>
        <w:outlineLvl w:val="1"/>
        <w:rPr>
          <w:b/>
          <w:bCs/>
        </w:rPr>
      </w:pPr>
      <w:r w:rsidRPr="003914DA">
        <w:rPr>
          <w:b/>
          <w:bCs/>
        </w:rPr>
        <w:t>1. Общие положения</w:t>
      </w:r>
    </w:p>
    <w:p w:rsidR="003914DA" w:rsidRPr="003914DA" w:rsidRDefault="003914DA" w:rsidP="003914DA">
      <w:pPr>
        <w:pStyle w:val="ConsPlusNormal"/>
        <w:ind w:firstLine="709"/>
        <w:jc w:val="both"/>
        <w:rPr>
          <w:rFonts w:ascii="Times New Roman" w:hAnsi="Times New Roman" w:cs="Times New Roman"/>
          <w:sz w:val="24"/>
          <w:szCs w:val="24"/>
        </w:rPr>
      </w:pPr>
      <w:r w:rsidRPr="003914DA">
        <w:rPr>
          <w:rFonts w:ascii="Times New Roman" w:hAnsi="Times New Roman" w:cs="Times New Roman"/>
          <w:sz w:val="24"/>
          <w:szCs w:val="24"/>
        </w:rPr>
        <w:t xml:space="preserve">1. </w:t>
      </w:r>
      <w:proofErr w:type="gramStart"/>
      <w:r w:rsidRPr="003914DA">
        <w:rPr>
          <w:rFonts w:ascii="Times New Roman" w:hAnsi="Times New Roman" w:cs="Times New Roman"/>
          <w:sz w:val="24"/>
          <w:szCs w:val="24"/>
        </w:rPr>
        <w:t xml:space="preserve">Настоящим </w:t>
      </w:r>
      <w:r w:rsidRPr="003914DA">
        <w:rPr>
          <w:rFonts w:ascii="Times New Roman" w:hAnsi="Times New Roman" w:cs="Times New Roman"/>
          <w:color w:val="000000"/>
          <w:sz w:val="24"/>
          <w:szCs w:val="24"/>
          <w:lang w:bidi="ru-RU"/>
        </w:rPr>
        <w:t xml:space="preserve">Порядком </w:t>
      </w:r>
      <w:r w:rsidRPr="003914DA">
        <w:rPr>
          <w:rFonts w:ascii="Times New Roman" w:hAnsi="Times New Roman" w:cs="Times New Roman"/>
          <w:bCs/>
          <w:color w:val="000000"/>
          <w:sz w:val="24"/>
          <w:szCs w:val="24"/>
          <w:lang w:bidi="ru-RU"/>
        </w:rPr>
        <w:t xml:space="preserve">предоставления в 2025 году </w:t>
      </w:r>
      <w:r w:rsidRPr="003914DA">
        <w:rPr>
          <w:rFonts w:ascii="Times New Roman" w:hAnsi="Times New Roman" w:cs="Times New Roman"/>
          <w:color w:val="000000"/>
          <w:sz w:val="24"/>
          <w:szCs w:val="24"/>
          <w:lang w:bidi="ru-RU"/>
        </w:rPr>
        <w:t xml:space="preserve">иных межбюджетных трансфертов из бюджета Таймырского Долгано-Ненецкого муниципального района бюджетам городских, сельских поселений, входящих в состав Таймырского Долгано-Ненецкого муниципального района на финансовое обеспечение </w:t>
      </w:r>
      <w:r w:rsidRPr="003914DA">
        <w:rPr>
          <w:rFonts w:ascii="Times New Roman" w:hAnsi="Times New Roman" w:cs="Times New Roman"/>
          <w:sz w:val="24"/>
          <w:szCs w:val="24"/>
        </w:rPr>
        <w:t>(возмещение) расходов на увеличение размеров оплаты труда отдельным категориям работников бюджетной сферы Красноярского кра</w:t>
      </w:r>
      <w:r w:rsidRPr="003914DA">
        <w:rPr>
          <w:rFonts w:ascii="Times New Roman" w:hAnsi="Times New Roman" w:cs="Times New Roman"/>
          <w:color w:val="000000"/>
          <w:sz w:val="24"/>
          <w:szCs w:val="24"/>
          <w:lang w:bidi="ru-RU"/>
        </w:rPr>
        <w:t>я</w:t>
      </w:r>
      <w:r w:rsidRPr="003914DA">
        <w:rPr>
          <w:rFonts w:ascii="Times New Roman" w:hAnsi="Times New Roman" w:cs="Times New Roman"/>
          <w:bCs/>
          <w:color w:val="000000"/>
          <w:sz w:val="24"/>
          <w:szCs w:val="24"/>
          <w:lang w:bidi="ru-RU"/>
        </w:rPr>
        <w:t xml:space="preserve"> (далее – Порядок) </w:t>
      </w:r>
      <w:r w:rsidRPr="003914DA">
        <w:rPr>
          <w:rFonts w:ascii="Times New Roman" w:hAnsi="Times New Roman" w:cs="Times New Roman"/>
          <w:sz w:val="24"/>
          <w:szCs w:val="24"/>
        </w:rPr>
        <w:t xml:space="preserve">устанавливаются правила предоставления иных межбюджетных трансфертов </w:t>
      </w:r>
      <w:r w:rsidRPr="003914DA">
        <w:rPr>
          <w:rFonts w:ascii="Times New Roman" w:hAnsi="Times New Roman" w:cs="Times New Roman"/>
          <w:color w:val="000000"/>
          <w:sz w:val="24"/>
          <w:szCs w:val="24"/>
          <w:lang w:bidi="ru-RU"/>
        </w:rPr>
        <w:t>из бюджета Таймырского Долгано-Ненецкого муниципального района</w:t>
      </w:r>
      <w:r w:rsidRPr="003914DA">
        <w:rPr>
          <w:rFonts w:ascii="Times New Roman" w:hAnsi="Times New Roman" w:cs="Times New Roman"/>
          <w:sz w:val="24"/>
          <w:szCs w:val="24"/>
        </w:rPr>
        <w:t xml:space="preserve"> (далее - районный бюджет</w:t>
      </w:r>
      <w:proofErr w:type="gramEnd"/>
      <w:r w:rsidRPr="003914DA">
        <w:rPr>
          <w:rFonts w:ascii="Times New Roman" w:hAnsi="Times New Roman" w:cs="Times New Roman"/>
          <w:sz w:val="24"/>
          <w:szCs w:val="24"/>
        </w:rPr>
        <w:t xml:space="preserve">) </w:t>
      </w:r>
      <w:proofErr w:type="gramStart"/>
      <w:r w:rsidRPr="003914DA">
        <w:rPr>
          <w:rFonts w:ascii="Times New Roman" w:hAnsi="Times New Roman" w:cs="Times New Roman"/>
          <w:sz w:val="24"/>
          <w:szCs w:val="24"/>
        </w:rPr>
        <w:t xml:space="preserve">бюджетам городских, сельских поселений, входящих в состав Таймырского Долгано-Ненецкого муниципального района (далее - поселения), на </w:t>
      </w:r>
      <w:r w:rsidRPr="003914DA">
        <w:rPr>
          <w:rFonts w:ascii="Times New Roman" w:hAnsi="Times New Roman" w:cs="Times New Roman"/>
          <w:color w:val="000000"/>
          <w:sz w:val="24"/>
          <w:szCs w:val="24"/>
          <w:lang w:bidi="ru-RU"/>
        </w:rPr>
        <w:t xml:space="preserve">финансовое обеспечение </w:t>
      </w:r>
      <w:r w:rsidRPr="003914DA">
        <w:rPr>
          <w:rFonts w:ascii="Times New Roman" w:hAnsi="Times New Roman" w:cs="Times New Roman"/>
          <w:sz w:val="24"/>
          <w:szCs w:val="24"/>
        </w:rPr>
        <w:t xml:space="preserve">(возмещение) расходов на увеличение размеров оплаты труда отдельным категориям работников </w:t>
      </w:r>
      <w:r w:rsidRPr="003914DA">
        <w:rPr>
          <w:rFonts w:ascii="Times New Roman" w:hAnsi="Times New Roman" w:cs="Times New Roman"/>
          <w:color w:val="000000" w:themeColor="text1"/>
          <w:sz w:val="24"/>
          <w:szCs w:val="24"/>
        </w:rPr>
        <w:t>с 1 января 2025 года</w:t>
      </w:r>
      <w:r w:rsidRPr="003914DA">
        <w:rPr>
          <w:rFonts w:ascii="Times New Roman" w:hAnsi="Times New Roman" w:cs="Times New Roman"/>
          <w:sz w:val="24"/>
          <w:szCs w:val="24"/>
        </w:rPr>
        <w:t xml:space="preserve"> (далее - иные межбюджетные трансферты), источником финансового обеспечения которых является иной межбюджетный трансферт из бюджета Красноярского края </w:t>
      </w:r>
      <w:r w:rsidRPr="003914DA">
        <w:rPr>
          <w:rFonts w:ascii="Times New Roman" w:hAnsi="Times New Roman" w:cs="Times New Roman"/>
          <w:color w:val="000000"/>
          <w:sz w:val="24"/>
          <w:szCs w:val="24"/>
          <w:lang w:bidi="ru-RU"/>
        </w:rPr>
        <w:t xml:space="preserve">на финансовое обеспечение </w:t>
      </w:r>
      <w:r w:rsidRPr="003914DA">
        <w:rPr>
          <w:rFonts w:ascii="Times New Roman" w:hAnsi="Times New Roman" w:cs="Times New Roman"/>
          <w:sz w:val="24"/>
          <w:szCs w:val="24"/>
        </w:rPr>
        <w:t>(возмещение) расходов на увеличение размеров оплаты труда отдельным категориям работников</w:t>
      </w:r>
      <w:proofErr w:type="gramEnd"/>
      <w:r w:rsidRPr="003914DA">
        <w:rPr>
          <w:rFonts w:ascii="Times New Roman" w:hAnsi="Times New Roman" w:cs="Times New Roman"/>
          <w:sz w:val="24"/>
          <w:szCs w:val="24"/>
        </w:rPr>
        <w:t xml:space="preserve"> бюджетной сферы Красноярского кра</w:t>
      </w:r>
      <w:r w:rsidRPr="003914DA">
        <w:rPr>
          <w:rFonts w:ascii="Times New Roman" w:hAnsi="Times New Roman" w:cs="Times New Roman"/>
          <w:color w:val="000000"/>
          <w:sz w:val="24"/>
          <w:szCs w:val="24"/>
          <w:lang w:bidi="ru-RU"/>
        </w:rPr>
        <w:t xml:space="preserve">я </w:t>
      </w:r>
      <w:r w:rsidRPr="003914DA">
        <w:rPr>
          <w:rFonts w:ascii="Times New Roman" w:hAnsi="Times New Roman" w:cs="Times New Roman"/>
          <w:sz w:val="24"/>
          <w:szCs w:val="24"/>
        </w:rPr>
        <w:t>(далее – иной межбюджетный трансферт из бюджета края).</w:t>
      </w:r>
    </w:p>
    <w:p w:rsidR="003914DA" w:rsidRPr="003914DA" w:rsidRDefault="003914DA" w:rsidP="003914DA">
      <w:pPr>
        <w:ind w:firstLine="709"/>
        <w:jc w:val="both"/>
        <w:rPr>
          <w:color w:val="000000" w:themeColor="text1"/>
        </w:rPr>
      </w:pPr>
      <w:proofErr w:type="gramStart"/>
      <w:r w:rsidRPr="003914DA">
        <w:rPr>
          <w:color w:val="000000" w:themeColor="text1"/>
        </w:rPr>
        <w:t>Для целей Порядка под отдельными категориями работников понимаются работники, определенные в соответствии с пунктом 1.2 приложения № 1 к Постановлению Правительства Красноярского края от 28 декабря 2024 года № 1107-п «О предоставлении в 2025 году иных межбюджетных трансфертов из краевого бюджета бюджетам муниципальных образований Красноярского края на финансовое обеспечение (возмещение) расходов на увеличение размеров оплаты труда отдельным категориям работников бюджетной сферы  Красноярского</w:t>
      </w:r>
      <w:proofErr w:type="gramEnd"/>
      <w:r w:rsidRPr="003914DA">
        <w:rPr>
          <w:color w:val="000000" w:themeColor="text1"/>
        </w:rPr>
        <w:t xml:space="preserve"> края</w:t>
      </w:r>
      <w:r w:rsidRPr="003914DA">
        <w:rPr>
          <w:color w:val="000000" w:themeColor="text1"/>
          <w:spacing w:val="-6"/>
        </w:rPr>
        <w:t>» (далее – Постановление).</w:t>
      </w:r>
      <w:r w:rsidRPr="003914DA">
        <w:rPr>
          <w:color w:val="000000" w:themeColor="text1"/>
        </w:rPr>
        <w:t xml:space="preserve"> </w:t>
      </w:r>
    </w:p>
    <w:p w:rsidR="003914DA" w:rsidRPr="003914DA" w:rsidRDefault="003914DA" w:rsidP="003914DA">
      <w:pPr>
        <w:ind w:firstLine="709"/>
        <w:jc w:val="both"/>
      </w:pPr>
      <w:r w:rsidRPr="003914DA">
        <w:t xml:space="preserve">2. Указанные в </w:t>
      </w:r>
      <w:proofErr w:type="gramStart"/>
      <w:r w:rsidRPr="003914DA">
        <w:t>пункте</w:t>
      </w:r>
      <w:proofErr w:type="gramEnd"/>
      <w:r w:rsidRPr="003914DA">
        <w:t xml:space="preserve"> 1 настоящего Порядка иные межбюджетные трансферты предоставляются бюджетам поселений:</w:t>
      </w:r>
    </w:p>
    <w:p w:rsidR="003914DA" w:rsidRPr="003914DA" w:rsidRDefault="003914DA" w:rsidP="003914DA">
      <w:pPr>
        <w:ind w:firstLine="709"/>
        <w:jc w:val="both"/>
        <w:rPr>
          <w:color w:val="000000" w:themeColor="text1"/>
        </w:rPr>
      </w:pPr>
      <w:r w:rsidRPr="003914DA">
        <w:t xml:space="preserve">в </w:t>
      </w:r>
      <w:proofErr w:type="gramStart"/>
      <w:r w:rsidRPr="003914DA">
        <w:t>целях</w:t>
      </w:r>
      <w:proofErr w:type="gramEnd"/>
      <w:r w:rsidRPr="003914DA">
        <w:t xml:space="preserve"> софинансирования, в том числе в полном объеме, расходных обязательств поселений по </w:t>
      </w:r>
      <w:r w:rsidRPr="003914DA">
        <w:rPr>
          <w:color w:val="000000"/>
          <w:lang w:bidi="ru-RU"/>
        </w:rPr>
        <w:t xml:space="preserve">финансовому обеспечению </w:t>
      </w:r>
      <w:r w:rsidRPr="003914DA">
        <w:t>(возмещению) расходов на увеличение размеров оплаты труда отдельным категориям работников</w:t>
      </w:r>
      <w:r w:rsidRPr="003914DA">
        <w:rPr>
          <w:i/>
          <w:color w:val="000000" w:themeColor="text1"/>
        </w:rPr>
        <w:t>,</w:t>
      </w:r>
      <w:r w:rsidRPr="003914DA">
        <w:rPr>
          <w:i/>
          <w:color w:val="FF0000"/>
        </w:rPr>
        <w:t xml:space="preserve"> </w:t>
      </w:r>
      <w:r w:rsidRPr="003914DA">
        <w:rPr>
          <w:color w:val="000000" w:themeColor="text1"/>
        </w:rPr>
        <w:t>определенным в соответствии с пунктом 1.2 приложения № 1 к Постановлению, с 1 января 2025 года;</w:t>
      </w:r>
    </w:p>
    <w:p w:rsidR="003914DA" w:rsidRPr="003914DA" w:rsidRDefault="003914DA" w:rsidP="003914DA">
      <w:pPr>
        <w:ind w:firstLine="709"/>
        <w:jc w:val="both"/>
        <w:rPr>
          <w:strike/>
        </w:rPr>
      </w:pPr>
      <w:r w:rsidRPr="003914DA">
        <w:t xml:space="preserve">в случае предоставления средств иного межбюджетного трансферта из бюджета края районному бюджету на условиях их предоставления и распределения, установленных </w:t>
      </w:r>
      <w:proofErr w:type="gramStart"/>
      <w:r w:rsidRPr="003914DA">
        <w:t>П</w:t>
      </w:r>
      <w:hyperlink r:id="rId20" w:tooltip="consultantplus://offline/ref=A02CF25A81A9BF3E9751769DA36B8470150A3DF35D68223EB3D275D96A0EAE916538DBC1275933D18BFEC133F8114B3C6C05AA1F8D54BB8B4FB5A9A6bCnBJ" w:history="1">
        <w:r w:rsidRPr="003914DA">
          <w:t>остановлением</w:t>
        </w:r>
        <w:proofErr w:type="gramEnd"/>
      </w:hyperlink>
      <w:r w:rsidRPr="003914DA">
        <w:t xml:space="preserve">. </w:t>
      </w:r>
    </w:p>
    <w:p w:rsidR="003914DA" w:rsidRPr="003914DA" w:rsidRDefault="003914DA" w:rsidP="003914DA">
      <w:pPr>
        <w:ind w:firstLine="709"/>
        <w:jc w:val="both"/>
      </w:pPr>
      <w:r w:rsidRPr="003914DA">
        <w:t xml:space="preserve">3. Главным распорядителем бюджетных средств, уполномоченным на предоставление и распределение средств иных межбюджетных трансфертов бюджетам поселений, является Финансовое управление Администрации </w:t>
      </w:r>
      <w:r w:rsidRPr="003914DA">
        <w:rPr>
          <w:color w:val="000000"/>
          <w:lang w:bidi="ru-RU"/>
        </w:rPr>
        <w:t xml:space="preserve">Таймырского Долгано-Ненецкого </w:t>
      </w:r>
      <w:r w:rsidRPr="003914DA">
        <w:t xml:space="preserve">муниципального района (далее – Уполномоченный орган). </w:t>
      </w:r>
    </w:p>
    <w:p w:rsidR="003914DA" w:rsidRPr="003914DA" w:rsidRDefault="003914DA" w:rsidP="003914DA">
      <w:pPr>
        <w:ind w:firstLine="709"/>
        <w:jc w:val="both"/>
      </w:pPr>
      <w:r w:rsidRPr="003914DA">
        <w:t xml:space="preserve">4. </w:t>
      </w:r>
      <w:proofErr w:type="gramStart"/>
      <w:r w:rsidRPr="003914DA">
        <w:t xml:space="preserve">Распределение средств иных межбюджетных трансфертов между бюджетами поселений осуществляется Уполномоченным органом в соответствии с правовым актом Администрации Таймырского Долгано-Ненецкого муниципального района согласно Методики распределения в 2025 году иных межбюджетных трансфертов из краевого бюджета бюджетам муниципальных образований Красноярского края на </w:t>
      </w:r>
      <w:r w:rsidRPr="003914DA">
        <w:rPr>
          <w:color w:val="000000"/>
          <w:lang w:bidi="ru-RU"/>
        </w:rPr>
        <w:t xml:space="preserve">финансовое обеспечение </w:t>
      </w:r>
      <w:r w:rsidRPr="003914DA">
        <w:t>(возмещение) расходов на увеличение размеров оплаты труда отдельным категориям работников бюджетной сферы Красноярского кра</w:t>
      </w:r>
      <w:r w:rsidRPr="003914DA">
        <w:rPr>
          <w:color w:val="000000"/>
          <w:lang w:bidi="ru-RU"/>
        </w:rPr>
        <w:t>я</w:t>
      </w:r>
      <w:r w:rsidRPr="003914DA">
        <w:t>, и правил их предоставления, утвержденной</w:t>
      </w:r>
      <w:proofErr w:type="gramEnd"/>
      <w:r w:rsidRPr="003914DA">
        <w:t xml:space="preserve"> Постановлением. </w:t>
      </w:r>
    </w:p>
    <w:p w:rsidR="003914DA" w:rsidRPr="003914DA" w:rsidRDefault="003914DA" w:rsidP="003914DA">
      <w:pPr>
        <w:pStyle w:val="aff2"/>
        <w:widowControl w:val="0"/>
        <w:spacing w:line="240" w:lineRule="auto"/>
        <w:ind w:left="0" w:firstLine="709"/>
      </w:pPr>
      <w:r w:rsidRPr="003914DA">
        <w:lastRenderedPageBreak/>
        <w:t>5. Ответственность за целевое и эффективное использование полученных средств иных межбюджетных трансфертов возлагается на исполнительно-распорядительные органы местного самоуправления поселений в соответствии с действующим законодательством.</w:t>
      </w:r>
    </w:p>
    <w:p w:rsidR="003914DA" w:rsidRDefault="003914DA" w:rsidP="003914DA">
      <w:pPr>
        <w:ind w:firstLine="709"/>
        <w:jc w:val="both"/>
        <w:rPr>
          <w:color w:val="000000"/>
          <w:spacing w:val="-2"/>
        </w:rPr>
      </w:pPr>
      <w:proofErr w:type="gramStart"/>
      <w:r w:rsidRPr="00DF2D15">
        <w:rPr>
          <w:color w:val="000000"/>
          <w:spacing w:val="-2"/>
        </w:rPr>
        <w:t>Контроль за</w:t>
      </w:r>
      <w:proofErr w:type="gramEnd"/>
      <w:r w:rsidRPr="00DF2D15">
        <w:rPr>
          <w:color w:val="000000"/>
          <w:spacing w:val="-2"/>
        </w:rPr>
        <w:t xml:space="preserve"> целевым использованием средств иных межбюджетных трансфертов осуществл</w:t>
      </w:r>
      <w:r w:rsidRPr="00DF2D15">
        <w:rPr>
          <w:color w:val="000000"/>
          <w:spacing w:val="-2"/>
        </w:rPr>
        <w:t>я</w:t>
      </w:r>
      <w:r w:rsidRPr="00DF2D15">
        <w:rPr>
          <w:color w:val="000000"/>
          <w:spacing w:val="-2"/>
        </w:rPr>
        <w:t>ется исполнительно-распорядительными органами местного самоуправления Таймырского Долгано-Ненецкого муниципального района и поселений, а та</w:t>
      </w:r>
      <w:r w:rsidRPr="00DF2D15">
        <w:rPr>
          <w:color w:val="000000"/>
          <w:spacing w:val="-2"/>
        </w:rPr>
        <w:t>к</w:t>
      </w:r>
      <w:r w:rsidRPr="00DF2D15">
        <w:rPr>
          <w:color w:val="000000"/>
          <w:spacing w:val="-2"/>
        </w:rPr>
        <w:t>же органами внешнего муниципального финансового контроля в пределах полномочий, предусмотренных зак</w:t>
      </w:r>
      <w:r w:rsidRPr="00DF2D15">
        <w:rPr>
          <w:color w:val="000000"/>
          <w:spacing w:val="-2"/>
        </w:rPr>
        <w:t>о</w:t>
      </w:r>
      <w:r w:rsidRPr="00DF2D15">
        <w:rPr>
          <w:color w:val="000000"/>
          <w:spacing w:val="-2"/>
        </w:rPr>
        <w:t>нодательством Российской Федерации.</w:t>
      </w:r>
    </w:p>
    <w:p w:rsidR="003914DA" w:rsidRPr="003914DA" w:rsidRDefault="003914DA" w:rsidP="003914DA">
      <w:pPr>
        <w:ind w:firstLine="708"/>
        <w:jc w:val="both"/>
      </w:pPr>
    </w:p>
    <w:p w:rsidR="003914DA" w:rsidRPr="003914DA" w:rsidRDefault="003914DA" w:rsidP="003914DA">
      <w:pPr>
        <w:ind w:firstLine="709"/>
        <w:jc w:val="center"/>
        <w:outlineLvl w:val="0"/>
        <w:rPr>
          <w:b/>
          <w:bCs/>
        </w:rPr>
      </w:pPr>
      <w:r>
        <w:rPr>
          <w:b/>
          <w:bCs/>
        </w:rPr>
        <w:t>2</w:t>
      </w:r>
      <w:r w:rsidRPr="003914DA">
        <w:rPr>
          <w:b/>
          <w:bCs/>
        </w:rPr>
        <w:t>. Порядок предоставления иных межбюджетных трансфертов</w:t>
      </w:r>
    </w:p>
    <w:p w:rsidR="003914DA" w:rsidRPr="003914DA" w:rsidRDefault="003914DA" w:rsidP="003914DA">
      <w:pPr>
        <w:ind w:firstLine="709"/>
        <w:jc w:val="both"/>
        <w:rPr>
          <w:spacing w:val="-8"/>
        </w:rPr>
      </w:pPr>
      <w:r w:rsidRPr="003914DA">
        <w:t xml:space="preserve">6. </w:t>
      </w:r>
      <w:proofErr w:type="gramStart"/>
      <w:r w:rsidRPr="003914DA">
        <w:t xml:space="preserve">Условием предоставления иного межбюджетного трансферта бюджету поселения является наличие муниципального правового акта об оплате труда отдельных категорий работников, </w:t>
      </w:r>
      <w:r w:rsidRPr="003914DA">
        <w:rPr>
          <w:color w:val="000000" w:themeColor="text1"/>
        </w:rPr>
        <w:t>определенных в соответствии с пунктом 1.2 приложения № 1 к Постановлению,</w:t>
      </w:r>
      <w:r w:rsidRPr="003914DA">
        <w:rPr>
          <w:i/>
          <w:color w:val="FF0000"/>
        </w:rPr>
        <w:t xml:space="preserve"> </w:t>
      </w:r>
      <w:r w:rsidRPr="003914DA">
        <w:t>принятого с соблюдением положений постановления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w:t>
      </w:r>
      <w:proofErr w:type="gramEnd"/>
      <w:r w:rsidRPr="003914DA">
        <w:t>, замещающих иные муниципальные должности, и муниципальных служащих»</w:t>
      </w:r>
      <w:r w:rsidRPr="003914DA">
        <w:rPr>
          <w:spacing w:val="-8"/>
        </w:rPr>
        <w:t>.</w:t>
      </w:r>
    </w:p>
    <w:p w:rsidR="003914DA" w:rsidRPr="003914DA" w:rsidRDefault="003914DA" w:rsidP="003914DA">
      <w:pPr>
        <w:pStyle w:val="aff2"/>
        <w:widowControl w:val="0"/>
        <w:spacing w:line="240" w:lineRule="auto"/>
        <w:ind w:left="0" w:firstLine="709"/>
      </w:pPr>
      <w:r w:rsidRPr="003914DA">
        <w:rPr>
          <w:spacing w:val="-8"/>
        </w:rPr>
        <w:t>7.</w:t>
      </w:r>
      <w:r w:rsidRPr="003914DA">
        <w:rPr>
          <w:color w:val="000000" w:themeColor="text1"/>
          <w:spacing w:val="-8"/>
        </w:rPr>
        <w:t xml:space="preserve"> </w:t>
      </w:r>
      <w:proofErr w:type="gramStart"/>
      <w:r w:rsidRPr="003914DA">
        <w:rPr>
          <w:color w:val="000000" w:themeColor="text1"/>
          <w:spacing w:val="-8"/>
        </w:rPr>
        <w:t xml:space="preserve">Для предоставления иного межбюджетного трансферта </w:t>
      </w:r>
      <w:r w:rsidRPr="003914DA">
        <w:rPr>
          <w:color w:val="000000" w:themeColor="text1"/>
        </w:rPr>
        <w:t>а</w:t>
      </w:r>
      <w:r w:rsidRPr="003914DA">
        <w:t>дминистрация соответствующего поселения, в срок до 24 февраля текущего года представляет в Уполномоченный орган копию муниципального правового акта, указанного в пункте 6 настоящего Порядка.</w:t>
      </w:r>
      <w:proofErr w:type="gramEnd"/>
    </w:p>
    <w:p w:rsidR="003914DA" w:rsidRPr="003914DA" w:rsidRDefault="003914DA" w:rsidP="003914DA">
      <w:pPr>
        <w:pStyle w:val="aff2"/>
        <w:widowControl w:val="0"/>
        <w:spacing w:line="240" w:lineRule="auto"/>
        <w:ind w:left="0" w:firstLine="709"/>
        <w:rPr>
          <w:bCs/>
          <w:iCs/>
        </w:rPr>
      </w:pPr>
      <w:r w:rsidRPr="003914DA">
        <w:rPr>
          <w:bCs/>
          <w:iCs/>
        </w:rPr>
        <w:t>8. Уполномоченный орган в течение 3 рабочих дней со дня получения копии муниципального правового акта</w:t>
      </w:r>
      <w:r w:rsidRPr="003914DA">
        <w:t xml:space="preserve"> </w:t>
      </w:r>
      <w:r w:rsidRPr="003914DA">
        <w:rPr>
          <w:color w:val="000000" w:themeColor="text1"/>
        </w:rPr>
        <w:t>об оплате труда отдельных категорий работников, определенных в соответствии с пунктом 1.2 приложения № 1 к Постановлению,</w:t>
      </w:r>
      <w:r w:rsidRPr="003914DA">
        <w:rPr>
          <w:bCs/>
          <w:iCs/>
        </w:rPr>
        <w:t xml:space="preserve"> осуществляет его проверку </w:t>
      </w:r>
      <w:r w:rsidRPr="003914DA">
        <w:t>на соответствие условию предоставления иного межбюджетного трансферта, установленного пункт</w:t>
      </w:r>
      <w:r w:rsidRPr="003914DA">
        <w:rPr>
          <w:color w:val="000000" w:themeColor="text1"/>
        </w:rPr>
        <w:t>ом</w:t>
      </w:r>
      <w:r w:rsidRPr="003914DA">
        <w:t xml:space="preserve"> 6 настоящего Порядка.</w:t>
      </w:r>
    </w:p>
    <w:p w:rsidR="003914DA" w:rsidRPr="003914DA" w:rsidRDefault="003914DA" w:rsidP="003914DA">
      <w:pPr>
        <w:pStyle w:val="aff2"/>
        <w:widowControl w:val="0"/>
        <w:spacing w:line="240" w:lineRule="auto"/>
        <w:ind w:left="0" w:firstLine="709"/>
        <w:rPr>
          <w:bCs/>
          <w:iCs/>
        </w:rPr>
      </w:pPr>
      <w:r w:rsidRPr="003914DA">
        <w:t xml:space="preserve">В случае несоблюдения </w:t>
      </w:r>
      <w:r w:rsidRPr="003914DA">
        <w:rPr>
          <w:color w:val="000000" w:themeColor="text1"/>
        </w:rPr>
        <w:t>поселениями</w:t>
      </w:r>
      <w:r w:rsidRPr="003914DA">
        <w:t xml:space="preserve"> условия предоставления иного межбюджетного трансферта</w:t>
      </w:r>
      <w:r w:rsidRPr="003914DA">
        <w:rPr>
          <w:bCs/>
          <w:iCs/>
        </w:rPr>
        <w:t xml:space="preserve"> Уполномоченный орган в течение 2 рабочих дней, </w:t>
      </w:r>
      <w:r w:rsidRPr="003914DA">
        <w:t>со дня истечения срока, указанного в абзаце первом настоящего пункта</w:t>
      </w:r>
      <w:r w:rsidRPr="003914DA">
        <w:rPr>
          <w:bCs/>
          <w:iCs/>
        </w:rPr>
        <w:t>, направляет в администрацию соответствующего поселения сопроводительное письмо, с указанием оснований для возврата копии муниципального правового акта.</w:t>
      </w:r>
    </w:p>
    <w:p w:rsidR="003914DA" w:rsidRPr="003914DA" w:rsidRDefault="003914DA" w:rsidP="003914DA">
      <w:pPr>
        <w:pStyle w:val="aff2"/>
        <w:widowControl w:val="0"/>
        <w:tabs>
          <w:tab w:val="left" w:pos="425"/>
          <w:tab w:val="left" w:pos="850"/>
        </w:tabs>
        <w:spacing w:line="240" w:lineRule="auto"/>
        <w:ind w:left="0" w:firstLine="709"/>
        <w:rPr>
          <w:bCs/>
          <w:iCs/>
          <w:lang w:bidi="ru-RU"/>
        </w:rPr>
      </w:pPr>
      <w:r w:rsidRPr="003914DA">
        <w:rPr>
          <w:bCs/>
          <w:iCs/>
        </w:rPr>
        <w:t xml:space="preserve">9. </w:t>
      </w:r>
      <w:proofErr w:type="gramStart"/>
      <w:r w:rsidRPr="003914DA">
        <w:rPr>
          <w:bCs/>
          <w:iCs/>
        </w:rPr>
        <w:t xml:space="preserve">Иные межбюджетные трансферты перечисляются бюджетам поселений в пределах бюджетных ассигнований, предусмотренных </w:t>
      </w:r>
      <w:r w:rsidRPr="003914DA">
        <w:rPr>
          <w:bCs/>
          <w:iCs/>
          <w:color w:val="000000" w:themeColor="text1"/>
        </w:rPr>
        <w:t>Таймырскому Долгано-Ненецкому муниципальному району</w:t>
      </w:r>
      <w:r w:rsidRPr="003914DA">
        <w:rPr>
          <w:bCs/>
          <w:iCs/>
        </w:rPr>
        <w:t xml:space="preserve"> за счёт средств иного </w:t>
      </w:r>
      <w:r w:rsidRPr="003914DA">
        <w:rPr>
          <w:bCs/>
          <w:iCs/>
          <w:lang w:bidi="ru-RU"/>
        </w:rPr>
        <w:t xml:space="preserve">межбюджетного трансферта, </w:t>
      </w:r>
      <w:r w:rsidRPr="003914DA">
        <w:rPr>
          <w:bCs/>
          <w:iCs/>
        </w:rPr>
        <w:t>предоставленного</w:t>
      </w:r>
      <w:r w:rsidRPr="003914DA">
        <w:rPr>
          <w:bCs/>
          <w:iCs/>
          <w:lang w:bidi="ru-RU"/>
        </w:rPr>
        <w:t xml:space="preserve"> из краевого бюджета на </w:t>
      </w:r>
      <w:r w:rsidRPr="003914DA">
        <w:rPr>
          <w:color w:val="000000"/>
          <w:lang w:bidi="ru-RU"/>
        </w:rPr>
        <w:t xml:space="preserve">финансовое обеспечение </w:t>
      </w:r>
      <w:r w:rsidRPr="003914DA">
        <w:t>(возмещение) расходов на увеличение размеров оплаты труда отдельным категориям работников бюджетной сферы Красноярского кра</w:t>
      </w:r>
      <w:r w:rsidRPr="003914DA">
        <w:rPr>
          <w:color w:val="000000"/>
          <w:lang w:bidi="ru-RU"/>
        </w:rPr>
        <w:t>я</w:t>
      </w:r>
      <w:r w:rsidRPr="003914DA">
        <w:rPr>
          <w:bCs/>
          <w:iCs/>
          <w:lang w:bidi="ru-RU"/>
        </w:rPr>
        <w:t xml:space="preserve"> в 2025 году.</w:t>
      </w:r>
      <w:proofErr w:type="gramEnd"/>
    </w:p>
    <w:p w:rsidR="003914DA" w:rsidRPr="003914DA" w:rsidRDefault="003914DA" w:rsidP="003914DA">
      <w:pPr>
        <w:pStyle w:val="aff2"/>
        <w:widowControl w:val="0"/>
        <w:spacing w:line="240" w:lineRule="auto"/>
        <w:ind w:left="0" w:firstLine="709"/>
        <w:rPr>
          <w:iCs/>
        </w:rPr>
      </w:pPr>
      <w:r w:rsidRPr="003914DA">
        <w:rPr>
          <w:bCs/>
          <w:iCs/>
        </w:rPr>
        <w:t>Перечисление иных межбюджетных трансфертов осуществляется Уполномоченным органом в соответствии с утвержденным кассовым планом, на основании заявок поселений на доведение объема финансирования расходов.</w:t>
      </w:r>
    </w:p>
    <w:p w:rsidR="003914DA" w:rsidRPr="003914DA" w:rsidRDefault="003914DA" w:rsidP="003914DA">
      <w:pPr>
        <w:pStyle w:val="aff2"/>
        <w:widowControl w:val="0"/>
        <w:spacing w:line="240" w:lineRule="auto"/>
        <w:ind w:left="0" w:firstLine="709"/>
      </w:pPr>
      <w:r w:rsidRPr="003914DA">
        <w:rPr>
          <w:bCs/>
          <w:iCs/>
        </w:rPr>
        <w:t xml:space="preserve">10. </w:t>
      </w:r>
      <w:r w:rsidRPr="003914DA">
        <w:t>Не использованный по состоянию на 1 января финансового года, следующего за отчетным, остаток иного межбюджетного трансферта подлежит</w:t>
      </w:r>
      <w:bookmarkStart w:id="2" w:name="_GoBack"/>
      <w:bookmarkEnd w:id="2"/>
      <w:r w:rsidRPr="003914DA">
        <w:t xml:space="preserve"> возврату</w:t>
      </w:r>
      <w:r w:rsidRPr="003914DA">
        <w:rPr>
          <w:color w:val="1A1A1A"/>
        </w:rPr>
        <w:t xml:space="preserve"> в районный бюджет в течение первых 10 рабочих</w:t>
      </w:r>
      <w:r w:rsidRPr="003914DA">
        <w:t xml:space="preserve"> </w:t>
      </w:r>
      <w:r w:rsidRPr="003914DA">
        <w:rPr>
          <w:color w:val="1A1A1A"/>
        </w:rPr>
        <w:t>дней текущего финансового года.</w:t>
      </w:r>
    </w:p>
    <w:p w:rsidR="003914DA" w:rsidRPr="003914DA" w:rsidRDefault="003914DA" w:rsidP="003914DA">
      <w:pPr>
        <w:pStyle w:val="aff2"/>
        <w:widowControl w:val="0"/>
        <w:spacing w:line="240" w:lineRule="auto"/>
        <w:ind w:left="0" w:firstLine="709"/>
      </w:pPr>
      <w:r w:rsidRPr="003914DA">
        <w:rPr>
          <w:bCs/>
          <w:iCs/>
        </w:rPr>
        <w:t>11. Исполнительно-распорядительные органы местного самоуправления соответствующих поселений обязаны использовать средства иных межбюджетных трансфертов в соответствии с настоящим Порядком.</w:t>
      </w:r>
    </w:p>
    <w:p w:rsidR="00E2498F" w:rsidRPr="00191CC6" w:rsidRDefault="00E2498F" w:rsidP="003914DA">
      <w:pPr>
        <w:ind w:firstLine="709"/>
      </w:pPr>
    </w:p>
    <w:sectPr w:rsidR="00E2498F" w:rsidRPr="00191CC6" w:rsidSect="003914DA">
      <w:pgSz w:w="11906" w:h="16838"/>
      <w:pgMar w:top="567" w:right="424" w:bottom="709"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4DA" w:rsidRDefault="003914DA">
      <w:r>
        <w:separator/>
      </w:r>
    </w:p>
    <w:p w:rsidR="003914DA" w:rsidRDefault="003914DA"/>
  </w:endnote>
  <w:endnote w:type="continuationSeparator" w:id="0">
    <w:p w:rsidR="003914DA" w:rsidRDefault="003914DA">
      <w:r>
        <w:continuationSeparator/>
      </w:r>
    </w:p>
    <w:p w:rsidR="003914DA" w:rsidRDefault="003914DA"/>
  </w:endnote>
  <w:endnote w:type="continuationNotice" w:id="1">
    <w:p w:rsidR="003914DA" w:rsidRDefault="00391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4DA" w:rsidRPr="009234BA" w:rsidRDefault="003914DA"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4DA" w:rsidRDefault="003914DA">
      <w:r>
        <w:separator/>
      </w:r>
    </w:p>
    <w:p w:rsidR="003914DA" w:rsidRDefault="003914DA"/>
  </w:footnote>
  <w:footnote w:type="continuationSeparator" w:id="0">
    <w:p w:rsidR="003914DA" w:rsidRDefault="003914DA">
      <w:r>
        <w:continuationSeparator/>
      </w:r>
    </w:p>
    <w:p w:rsidR="003914DA" w:rsidRDefault="003914DA"/>
  </w:footnote>
  <w:footnote w:type="continuationNotice" w:id="1">
    <w:p w:rsidR="003914DA" w:rsidRDefault="003914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Content>
      <w:p w:rsidR="003914DA" w:rsidRDefault="003914DA">
        <w:pPr>
          <w:pStyle w:val="afff2"/>
          <w:jc w:val="right"/>
        </w:pPr>
        <w:r>
          <w:fldChar w:fldCharType="begin"/>
        </w:r>
        <w:r>
          <w:instrText>PAGE   \* MERGEFORMAT</w:instrText>
        </w:r>
        <w:r>
          <w:fldChar w:fldCharType="separate"/>
        </w:r>
        <w:r w:rsidR="00BA0C7F">
          <w:rPr>
            <w:noProof/>
          </w:rPr>
          <w:t>3</w:t>
        </w:r>
        <w:r>
          <w:fldChar w:fldCharType="end"/>
        </w:r>
      </w:p>
    </w:sdtContent>
  </w:sdt>
  <w:p w:rsidR="003914DA" w:rsidRPr="007C4B51" w:rsidRDefault="003914DA"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4">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6">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0">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3">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77C662B"/>
    <w:multiLevelType w:val="multilevel"/>
    <w:tmpl w:val="005E6166"/>
    <w:lvl w:ilvl="0">
      <w:start w:val="1"/>
      <w:numFmt w:val="decimal"/>
      <w:lvlText w:val="%1."/>
      <w:lvlJc w:val="left"/>
      <w:pPr>
        <w:ind w:left="72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8">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29">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30">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5"/>
  </w:num>
  <w:num w:numId="2">
    <w:abstractNumId w:val="11"/>
  </w:num>
  <w:num w:numId="3">
    <w:abstractNumId w:val="12"/>
  </w:num>
  <w:num w:numId="4">
    <w:abstractNumId w:val="22"/>
  </w:num>
  <w:num w:numId="5">
    <w:abstractNumId w:val="31"/>
  </w:num>
  <w:num w:numId="6">
    <w:abstractNumId w:val="5"/>
  </w:num>
  <w:num w:numId="7">
    <w:abstractNumId w:val="20"/>
  </w:num>
  <w:num w:numId="8">
    <w:abstractNumId w:val="18"/>
  </w:num>
  <w:num w:numId="9">
    <w:abstractNumId w:val="9"/>
  </w:num>
  <w:num w:numId="10">
    <w:abstractNumId w:val="4"/>
  </w:num>
  <w:num w:numId="11">
    <w:abstractNumId w:val="19"/>
  </w:num>
  <w:num w:numId="12">
    <w:abstractNumId w:val="25"/>
  </w:num>
  <w:num w:numId="13">
    <w:abstractNumId w:val="7"/>
  </w:num>
  <w:num w:numId="14">
    <w:abstractNumId w:val="6"/>
  </w:num>
  <w:num w:numId="15">
    <w:abstractNumId w:val="27"/>
  </w:num>
  <w:num w:numId="16">
    <w:abstractNumId w:val="10"/>
  </w:num>
  <w:num w:numId="17">
    <w:abstractNumId w:val="16"/>
  </w:num>
  <w:num w:numId="18">
    <w:abstractNumId w:val="30"/>
  </w:num>
  <w:num w:numId="19">
    <w:abstractNumId w:val="26"/>
  </w:num>
  <w:num w:numId="20">
    <w:abstractNumId w:val="13"/>
  </w:num>
  <w:num w:numId="21">
    <w:abstractNumId w:val="21"/>
  </w:num>
  <w:num w:numId="22">
    <w:abstractNumId w:val="23"/>
  </w:num>
  <w:num w:numId="23">
    <w:abstractNumId w:val="17"/>
  </w:num>
  <w:num w:numId="24">
    <w:abstractNumId w:val="14"/>
  </w:num>
  <w:num w:numId="25">
    <w:abstractNumId w:val="29"/>
  </w:num>
  <w:num w:numId="26">
    <w:abstractNumId w:val="8"/>
  </w:num>
  <w:num w:numId="27">
    <w:abstractNumId w:val="28"/>
  </w:num>
  <w:num w:numId="28">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0F9B"/>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2FA4"/>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4DA"/>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02A"/>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6EA"/>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0C0D"/>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7C8"/>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195B"/>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6F1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54"/>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C7F"/>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786"/>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008"/>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08B"/>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24A"/>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consultantplus://offline/ref=A02CF25A81A9BF3E9751769DA36B8470150A3DF35D662E3DB8D675D96A0EAE916538DBC1275933D18BFDC330F8114B3C6C05AA1F8D54BB8B4FB5A9A6bCnBJ" TargetMode="External"/><Relationship Id="rId2" Type="http://schemas.openxmlformats.org/officeDocument/2006/relationships/customXml" Target="../customXml/item1.xml"/><Relationship Id="rId16" Type="http://schemas.openxmlformats.org/officeDocument/2006/relationships/hyperlink" Target="consultantplus://offline/ref=A02CF25A81A9BF3E9751769DA36B8470150A3DF35D68223EB3D275D96A0EAE916538DBC1275933D18BFEC133F8114B3C6C05AA1F8D54BB8B4FB5A9A6bCnBJ" TargetMode="External"/><Relationship Id="rId20" Type="http://schemas.openxmlformats.org/officeDocument/2006/relationships/hyperlink" Target="consultantplus://offline/ref=A02CF25A81A9BF3E9751769DA36B8470150A3DF35D68223EB3D275D96A0EAE916538DBC1275933D18BFEC133F8114B3C6C05AA1F8D54BB8B4FB5A9A6bCnBJ" TargetMode="Externa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consultantplus://offline/ref=A02CF25A81A9BF3E9751769DA36B8470150A3DF35C6F273FBDD475D96A0EAE916538DBC1275933D18BFFC036FD114B3C6C05AA1F8D54BB8B4FB5A9A6bCnBJ"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consultantplus://offline/ref=A02CF25A81A9BF3E97516890B507DB7F120762FE576A2D6AE683738E355EA8C42578DD9063193BDBDFAF8565F61A1A732952B91D8848bBn9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575A8ABA-7F72-43EF-8582-FA7484B49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1027</Words>
  <Characters>9703</Characters>
  <Application>Microsoft Office Word</Application>
  <DocSecurity>0</DocSecurity>
  <Lines>80</Lines>
  <Paragraphs>21</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10709</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3</cp:revision>
  <cp:lastPrinted>2025-02-18T05:38:00Z</cp:lastPrinted>
  <dcterms:created xsi:type="dcterms:W3CDTF">2025-02-18T05:25:00Z</dcterms:created>
  <dcterms:modified xsi:type="dcterms:W3CDTF">2025-02-18T05:38:00Z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